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4FDA2" w14:textId="58C117FE" w:rsidR="00D07C27" w:rsidRPr="00D57B30" w:rsidRDefault="00D57B30" w:rsidP="008246F4">
      <w:pPr>
        <w:pStyle w:val="Heading1"/>
        <w:ind w:right="545"/>
        <w:rPr>
          <w:color w:val="1F4E79" w:themeColor="accent1" w:themeShade="80"/>
        </w:rPr>
      </w:pPr>
      <w:bookmarkStart w:id="0" w:name="_GoBack"/>
      <w:bookmarkEnd w:id="0"/>
      <w:r>
        <w:rPr>
          <w:color w:val="1F4E79" w:themeColor="accent1" w:themeShade="80"/>
        </w:rPr>
        <w:t xml:space="preserve"> بند جدول الأعمال رقم 1:   اجتماع مع منظمة دعم الأسماء العامة (</w:t>
      </w:r>
      <w:r w:rsidR="006D6401">
        <w:rPr>
          <w:color w:val="1F4E79" w:themeColor="accent1" w:themeShade="80"/>
          <w:rtl w:val="0"/>
        </w:rPr>
        <w:t>(</w:t>
      </w:r>
      <w:r>
        <w:rPr>
          <w:color w:val="1F4E79" w:themeColor="accent1" w:themeShade="80"/>
          <w:rtl w:val="0"/>
        </w:rPr>
        <w:t>GNSO</w:t>
      </w:r>
      <w:r>
        <w:rPr>
          <w:color w:val="1F4E79" w:themeColor="accent1" w:themeShade="80"/>
        </w:rPr>
        <w:t xml:space="preserve"> </w:t>
      </w:r>
    </w:p>
    <w:p w14:paraId="1202E295" w14:textId="77777777" w:rsidR="00F21D6A" w:rsidRPr="00D57B30" w:rsidRDefault="00D57B30" w:rsidP="00982B73">
      <w:pPr>
        <w:pStyle w:val="Heading2"/>
      </w:pPr>
      <w:r>
        <w:t>القضايا</w:t>
      </w:r>
    </w:p>
    <w:p w14:paraId="75465D53" w14:textId="62EDAA13" w:rsidR="002A35B2" w:rsidRDefault="001A7608" w:rsidP="00A13403">
      <w:pPr>
        <w:spacing w:after="200" w:line="276" w:lineRule="auto"/>
        <w:ind w:right="544"/>
        <w:contextualSpacing/>
        <w:jc w:val="both"/>
        <w:rPr>
          <w:sz w:val="20"/>
          <w:szCs w:val="20"/>
        </w:rPr>
      </w:pPr>
      <w:r>
        <w:rPr>
          <w:sz w:val="20"/>
          <w:szCs w:val="20"/>
        </w:rPr>
        <w:t xml:space="preserve">تميل جداول أعمال الاجتماعات الثنائية لـ </w:t>
      </w:r>
      <w:r>
        <w:rPr>
          <w:sz w:val="20"/>
          <w:rtl w:val="0"/>
        </w:rPr>
        <w:t>GAC</w:t>
      </w:r>
      <w:r>
        <w:rPr>
          <w:sz w:val="20"/>
          <w:szCs w:val="20"/>
        </w:rPr>
        <w:t xml:space="preserve"> من هذا النوع إلى التغيير السريع حتى اللحظة الأخيرة لعدة أسباب. وعلى الرغم من ذلك، من المرجح أن يتم طرح القضايا التالية:</w:t>
      </w:r>
    </w:p>
    <w:p w14:paraId="21A1636A" w14:textId="304F4C1F" w:rsidR="001A63D6" w:rsidRPr="007B5468" w:rsidRDefault="001A63D6" w:rsidP="007B5468">
      <w:pPr>
        <w:pStyle w:val="ListParagraph"/>
        <w:numPr>
          <w:ilvl w:val="0"/>
          <w:numId w:val="5"/>
        </w:numPr>
        <w:spacing w:line="360" w:lineRule="auto"/>
        <w:ind w:right="544"/>
        <w:contextualSpacing/>
        <w:rPr>
          <w:szCs w:val="20"/>
        </w:rPr>
      </w:pPr>
      <w:r>
        <w:t xml:space="preserve">مقدمة لدور منظمة دعم الأسماء العامة وعمليات تطوير السياسة </w:t>
      </w:r>
      <w:r>
        <w:rPr>
          <w:rtl w:val="0"/>
        </w:rPr>
        <w:t>(PDP)</w:t>
      </w:r>
      <w:r>
        <w:t xml:space="preserve">، بما فيها التحسينات التدريجية الطارئة على كيفية عمل </w:t>
      </w:r>
      <w:r>
        <w:rPr>
          <w:rtl w:val="0"/>
        </w:rPr>
        <w:t>PDP (“PDP 3.0”)</w:t>
      </w:r>
      <w:r>
        <w:t>..</w:t>
      </w:r>
    </w:p>
    <w:p w14:paraId="27773071" w14:textId="664A7905" w:rsidR="002A35B2" w:rsidRDefault="001A63D6" w:rsidP="00A5021B">
      <w:pPr>
        <w:pStyle w:val="ListParagraph"/>
        <w:numPr>
          <w:ilvl w:val="0"/>
          <w:numId w:val="5"/>
        </w:numPr>
        <w:spacing w:line="360" w:lineRule="auto"/>
        <w:ind w:right="544"/>
        <w:contextualSpacing/>
        <w:rPr>
          <w:szCs w:val="20"/>
        </w:rPr>
      </w:pPr>
      <w:r>
        <w:t xml:space="preserve">الخطوات التالية في مواصفة </w:t>
      </w:r>
      <w:r>
        <w:rPr>
          <w:rtl w:val="0"/>
        </w:rPr>
        <w:t>ICANN</w:t>
      </w:r>
      <w:r>
        <w:t xml:space="preserve"> المؤقتة للامتثال لقانون حماية البيانات العامة </w:t>
      </w:r>
      <w:r>
        <w:rPr>
          <w:rtl w:val="0"/>
        </w:rPr>
        <w:t>GDPR</w:t>
      </w:r>
      <w:r>
        <w:t>.</w:t>
      </w:r>
    </w:p>
    <w:p w14:paraId="06688F3A" w14:textId="58ABE6DB" w:rsidR="002A35B2" w:rsidRDefault="00C14EF2" w:rsidP="00A5021B">
      <w:pPr>
        <w:pStyle w:val="ListParagraph"/>
        <w:numPr>
          <w:ilvl w:val="0"/>
          <w:numId w:val="5"/>
        </w:numPr>
        <w:spacing w:line="360" w:lineRule="auto"/>
        <w:ind w:right="544"/>
        <w:contextualSpacing/>
        <w:rPr>
          <w:szCs w:val="20"/>
        </w:rPr>
      </w:pPr>
      <w:r>
        <w:t xml:space="preserve">عملية وضع السياسات في </w:t>
      </w:r>
      <w:r>
        <w:rPr>
          <w:rtl w:val="0"/>
        </w:rPr>
        <w:t>GNSO</w:t>
      </w:r>
      <w:r>
        <w:t xml:space="preserve"> بخصوص الإجراءات اللاحقة لنطاقات </w:t>
      </w:r>
      <w:r>
        <w:rPr>
          <w:rtl w:val="0"/>
        </w:rPr>
        <w:t>gTLD</w:t>
      </w:r>
      <w:r>
        <w:t xml:space="preserve"> الجديدة: تقدم في مسارات العمل 1-4 ومسار العمل 5.</w:t>
      </w:r>
    </w:p>
    <w:p w14:paraId="7A2AE7FC" w14:textId="45BCFB71" w:rsidR="00C14EF2" w:rsidRDefault="00C14EF2" w:rsidP="00C14EF2">
      <w:pPr>
        <w:pStyle w:val="Heading2"/>
      </w:pPr>
      <w:r>
        <w:t xml:space="preserve">إجراء لجنة </w:t>
      </w:r>
      <w:r>
        <w:rPr>
          <w:rtl w:val="0"/>
        </w:rPr>
        <w:t>GAC</w:t>
      </w:r>
      <w:r>
        <w:t xml:space="preserve"> المطلوب اتخاذه</w:t>
      </w:r>
    </w:p>
    <w:p w14:paraId="68CBC247" w14:textId="77777777" w:rsidR="007B5468" w:rsidRPr="007B5468" w:rsidRDefault="001A63D6" w:rsidP="001A63D6">
      <w:pPr>
        <w:pStyle w:val="ListParagraph"/>
        <w:numPr>
          <w:ilvl w:val="0"/>
          <w:numId w:val="6"/>
        </w:numPr>
        <w:spacing w:line="360" w:lineRule="auto"/>
        <w:ind w:right="544"/>
        <w:contextualSpacing/>
        <w:rPr>
          <w:b/>
          <w:color w:val="2E74B5" w:themeColor="accent1" w:themeShade="BF"/>
          <w:szCs w:val="20"/>
        </w:rPr>
      </w:pPr>
      <w:r>
        <w:rPr>
          <w:b/>
          <w:bCs/>
          <w:color w:val="2E74B5" w:themeColor="accent1" w:themeShade="BF"/>
        </w:rPr>
        <w:t xml:space="preserve">تعريف بدور </w:t>
      </w:r>
      <w:r>
        <w:rPr>
          <w:b/>
          <w:color w:val="2E74B5" w:themeColor="accent1" w:themeShade="BF"/>
          <w:rtl w:val="0"/>
        </w:rPr>
        <w:t>GNSO</w:t>
      </w:r>
      <w:r>
        <w:rPr>
          <w:b/>
          <w:bCs/>
          <w:color w:val="2E74B5" w:themeColor="accent1" w:themeShade="BF"/>
        </w:rPr>
        <w:t xml:space="preserve"> وغيرها في </w:t>
      </w:r>
      <w:r>
        <w:rPr>
          <w:b/>
          <w:color w:val="2E74B5" w:themeColor="accent1" w:themeShade="BF"/>
          <w:rtl w:val="0"/>
        </w:rPr>
        <w:t>PDP</w:t>
      </w:r>
      <w:r>
        <w:rPr>
          <w:b/>
          <w:bCs/>
          <w:color w:val="2E74B5" w:themeColor="accent1" w:themeShade="BF"/>
        </w:rPr>
        <w:t>.</w:t>
      </w:r>
    </w:p>
    <w:p w14:paraId="5AD9238C" w14:textId="7828F646" w:rsidR="001A63D6" w:rsidRDefault="001A63D6" w:rsidP="007B5468">
      <w:pPr>
        <w:spacing w:line="360" w:lineRule="auto"/>
        <w:ind w:right="544"/>
        <w:contextualSpacing/>
        <w:rPr>
          <w:sz w:val="20"/>
          <w:szCs w:val="20"/>
        </w:rPr>
      </w:pPr>
      <w:r>
        <w:rPr>
          <w:sz w:val="20"/>
          <w:szCs w:val="20"/>
        </w:rPr>
        <w:t xml:space="preserve">قد يرغب أعضاء </w:t>
      </w:r>
      <w:r>
        <w:rPr>
          <w:sz w:val="20"/>
          <w:rtl w:val="0"/>
        </w:rPr>
        <w:t>GAC</w:t>
      </w:r>
      <w:r>
        <w:rPr>
          <w:sz w:val="20"/>
          <w:szCs w:val="20"/>
        </w:rPr>
        <w:t xml:space="preserve"> -لا سيما من هم أقل خبرة في نموذج أصحاب المصلحة المتعددين الخاص بـ </w:t>
      </w:r>
      <w:r>
        <w:rPr>
          <w:sz w:val="20"/>
          <w:rtl w:val="0"/>
        </w:rPr>
        <w:t>ICANN</w:t>
      </w:r>
      <w:r>
        <w:rPr>
          <w:sz w:val="20"/>
          <w:szCs w:val="20"/>
        </w:rPr>
        <w:t xml:space="preserve">- في الإشارة إلى معلومات حول دوره الذي تقدمه </w:t>
      </w:r>
      <w:r>
        <w:rPr>
          <w:sz w:val="20"/>
          <w:rtl w:val="0"/>
        </w:rPr>
        <w:t>GNSO</w:t>
      </w:r>
      <w:r>
        <w:rPr>
          <w:sz w:val="20"/>
          <w:szCs w:val="20"/>
        </w:rPr>
        <w:t xml:space="preserve"> والسعي للحصول على توضيح ومزيد من النقاش.</w:t>
      </w:r>
    </w:p>
    <w:p w14:paraId="0BD52C20" w14:textId="77777777" w:rsidR="007B5468" w:rsidRDefault="007B5468" w:rsidP="007B5468">
      <w:pPr>
        <w:pStyle w:val="BodyText"/>
      </w:pPr>
      <w:r>
        <w:t xml:space="preserve">حصلت </w:t>
      </w:r>
      <w:r>
        <w:rPr>
          <w:rtl w:val="0"/>
        </w:rPr>
        <w:t>GAC</w:t>
      </w:r>
      <w:r>
        <w:t xml:space="preserve"> مؤخرًا على إحاطة (المرفق أ) حول بيان داخلي لمناقشة موضوع "</w:t>
      </w:r>
      <w:r>
        <w:rPr>
          <w:rtl w:val="0"/>
        </w:rPr>
        <w:t>PDP 3.0</w:t>
      </w:r>
      <w:r>
        <w:t xml:space="preserve">" الهدف منه تحسين فاعلية وكفاءة مجموعات عمل عملية وضع السياسات في </w:t>
      </w:r>
      <w:r>
        <w:rPr>
          <w:rtl w:val="0"/>
        </w:rPr>
        <w:t>GNSO</w:t>
      </w:r>
      <w:r>
        <w:t xml:space="preserve">. . وأكد منسق علاقات </w:t>
      </w:r>
      <w:r>
        <w:rPr>
          <w:rtl w:val="0"/>
        </w:rPr>
        <w:t>GNSO</w:t>
      </w:r>
      <w:r>
        <w:t xml:space="preserve"> لدى </w:t>
      </w:r>
      <w:r>
        <w:rPr>
          <w:rtl w:val="0"/>
        </w:rPr>
        <w:t>GAC</w:t>
      </w:r>
      <w:r>
        <w:t xml:space="preserve"> أن تعقيبات </w:t>
      </w:r>
      <w:r>
        <w:rPr>
          <w:rtl w:val="0"/>
        </w:rPr>
        <w:t>GAC</w:t>
      </w:r>
      <w:r>
        <w:t xml:space="preserve"> حول هذا الموضوع موضع ترحيب.</w:t>
      </w:r>
    </w:p>
    <w:p w14:paraId="0C0A8A04" w14:textId="77777777" w:rsidR="007B5468" w:rsidRDefault="007B5468" w:rsidP="007B5468">
      <w:pPr>
        <w:pStyle w:val="BodyText"/>
      </w:pPr>
      <w:r>
        <w:t xml:space="preserve">وقد ترغب </w:t>
      </w:r>
      <w:r>
        <w:rPr>
          <w:rtl w:val="0"/>
        </w:rPr>
        <w:t>GAC</w:t>
      </w:r>
      <w:r>
        <w:t xml:space="preserve"> في الحصول على وجهات نظر أعضاء مجلس </w:t>
      </w:r>
      <w:r>
        <w:rPr>
          <w:rtl w:val="0"/>
        </w:rPr>
        <w:t>GNSO</w:t>
      </w:r>
      <w:r>
        <w:t xml:space="preserve"> حول ما يلي:</w:t>
      </w:r>
    </w:p>
    <w:p w14:paraId="0B5D6C63" w14:textId="77777777" w:rsidR="007B5468" w:rsidRDefault="007B5468" w:rsidP="007B5468">
      <w:pPr>
        <w:pStyle w:val="ListParagraph"/>
        <w:widowControl w:val="0"/>
        <w:numPr>
          <w:ilvl w:val="0"/>
          <w:numId w:val="8"/>
        </w:numPr>
        <w:autoSpaceDE w:val="0"/>
        <w:autoSpaceDN w:val="0"/>
        <w:adjustRightInd w:val="0"/>
        <w:ind w:right="545"/>
        <w:rPr>
          <w:rFonts w:cs="Arabic Transparent"/>
          <w:szCs w:val="20"/>
        </w:rPr>
      </w:pPr>
      <w:r>
        <w:t xml:space="preserve">بالنظر إلى التداخلات فيما بين أعمال </w:t>
      </w:r>
      <w:r>
        <w:rPr>
          <w:rtl w:val="0"/>
        </w:rPr>
        <w:t>ICANN</w:t>
      </w:r>
      <w:r>
        <w:t>، فسوف يكون ذلك مفيدًا في مناقشة المشكلات المطروحة في البحث المقرر فتحه أمام جميع أعضاء المجتمع.</w:t>
      </w:r>
    </w:p>
    <w:p w14:paraId="1A13B688" w14:textId="77777777" w:rsidR="007B5468" w:rsidRDefault="007B5468" w:rsidP="007B5468">
      <w:pPr>
        <w:pStyle w:val="ListParagraph"/>
        <w:widowControl w:val="0"/>
        <w:numPr>
          <w:ilvl w:val="0"/>
          <w:numId w:val="8"/>
        </w:numPr>
        <w:autoSpaceDE w:val="0"/>
        <w:autoSpaceDN w:val="0"/>
        <w:adjustRightInd w:val="0"/>
        <w:ind w:right="545"/>
        <w:rPr>
          <w:rFonts w:cs="Arabic Transparent"/>
          <w:szCs w:val="20"/>
        </w:rPr>
      </w:pPr>
      <w:r>
        <w:t xml:space="preserve">إن تنظيم مجموعات عمل </w:t>
      </w:r>
      <w:r>
        <w:rPr>
          <w:rtl w:val="0"/>
        </w:rPr>
        <w:t>PDP</w:t>
      </w:r>
      <w:r>
        <w:t xml:space="preserve"> المعنية بنموذج مجموعات عمل المجتمعات المتعددة، بأعضاء محددين من منظمات الدعم واللجان الاستشارية المعنية وغيرهم من المشاركين كأفراد (التوصية 2)، كفيل بالتشجيع على ما يلي: (أ) تحسين المساءلة والكفاءة والشفافية؛ و(ب) منظور أصيل على نطاق المجتمعات داخل عمليات وضع السياسات؛ و(ج) مشاركة أفضل وأكثر استنارة من </w:t>
      </w:r>
      <w:r>
        <w:rPr>
          <w:rtl w:val="0"/>
        </w:rPr>
        <w:t>GAC</w:t>
      </w:r>
      <w:r>
        <w:t xml:space="preserve"> في عمليات وضع السياسات.</w:t>
      </w:r>
    </w:p>
    <w:p w14:paraId="014E4B76" w14:textId="77777777" w:rsidR="007B5468" w:rsidRDefault="007B5468" w:rsidP="007B5468">
      <w:pPr>
        <w:pStyle w:val="ListParagraph"/>
        <w:widowControl w:val="0"/>
        <w:numPr>
          <w:ilvl w:val="0"/>
          <w:numId w:val="9"/>
        </w:numPr>
        <w:autoSpaceDE w:val="0"/>
        <w:autoSpaceDN w:val="0"/>
        <w:adjustRightInd w:val="0"/>
        <w:ind w:right="545"/>
        <w:rPr>
          <w:rFonts w:cs="Arabic Transparent"/>
          <w:szCs w:val="20"/>
        </w:rPr>
      </w:pPr>
      <w:r>
        <w:t xml:space="preserve">في حقيقة الأمر، يرى بعض أعضاء </w:t>
      </w:r>
      <w:r>
        <w:rPr>
          <w:rtl w:val="0"/>
        </w:rPr>
        <w:t>GAC</w:t>
      </w:r>
      <w:r>
        <w:t xml:space="preserve"> هذه التوصية باعتبارها شرطًا مسبقًا لاستيفاء العديد من التحديات الأخرى المشار إليها (جودة النقاش، بناء الإجماع) حيث من شأنها السماح لأي مجموعة بقياس مستوى الدعم والتأييد لمواقف بعينها في المجتمع الأوسع في مقابل من يلجؤون إلى المشاركة في الاجتماعات.</w:t>
      </w:r>
    </w:p>
    <w:p w14:paraId="1AC2A376" w14:textId="6C2E154E" w:rsidR="007B5468" w:rsidRDefault="007B5468" w:rsidP="007B5468">
      <w:pPr>
        <w:pStyle w:val="ListParagraph"/>
        <w:widowControl w:val="0"/>
        <w:numPr>
          <w:ilvl w:val="0"/>
          <w:numId w:val="8"/>
        </w:numPr>
        <w:autoSpaceDE w:val="0"/>
        <w:autoSpaceDN w:val="0"/>
        <w:adjustRightInd w:val="0"/>
        <w:ind w:right="545"/>
        <w:rPr>
          <w:rFonts w:cs="Arabic Transparent"/>
          <w:szCs w:val="20"/>
        </w:rPr>
      </w:pPr>
      <w:r>
        <w:t xml:space="preserve">علمًا بأن التدابير المقترحة في الوثيقة من أجل تدريب أفضل وموارد من أجل قادة مجموعة العمل والمشاركين فيها مفيدة ومعقولة ويمكن أن تجمع تأييدًا جيدًا للغاية مقدم بالفعل من جانب فريق عمل </w:t>
      </w:r>
      <w:r>
        <w:rPr>
          <w:rtl w:val="0"/>
        </w:rPr>
        <w:t>GNSO</w:t>
      </w:r>
      <w:r>
        <w:t>.</w:t>
      </w:r>
    </w:p>
    <w:p w14:paraId="3EF4507D" w14:textId="35E4DF78" w:rsidR="007B5468" w:rsidRDefault="007B5468" w:rsidP="007B5468">
      <w:pPr>
        <w:widowControl w:val="0"/>
        <w:autoSpaceDE w:val="0"/>
        <w:autoSpaceDN w:val="0"/>
        <w:adjustRightInd w:val="0"/>
        <w:ind w:right="545"/>
        <w:rPr>
          <w:rFonts w:cs="Century Gothic"/>
          <w:szCs w:val="20"/>
        </w:rPr>
      </w:pPr>
    </w:p>
    <w:p w14:paraId="285DBEF5" w14:textId="2F7397F8" w:rsidR="007B5468" w:rsidRDefault="007B5468" w:rsidP="007B5468">
      <w:pPr>
        <w:widowControl w:val="0"/>
        <w:autoSpaceDE w:val="0"/>
        <w:autoSpaceDN w:val="0"/>
        <w:adjustRightInd w:val="0"/>
        <w:ind w:right="545"/>
        <w:rPr>
          <w:rFonts w:cs="Century Gothic"/>
          <w:szCs w:val="20"/>
        </w:rPr>
      </w:pPr>
    </w:p>
    <w:p w14:paraId="0099CC34" w14:textId="77777777" w:rsidR="007B5468" w:rsidRPr="007B5468" w:rsidRDefault="007B5468" w:rsidP="007B5468">
      <w:pPr>
        <w:widowControl w:val="0"/>
        <w:autoSpaceDE w:val="0"/>
        <w:autoSpaceDN w:val="0"/>
        <w:adjustRightInd w:val="0"/>
        <w:ind w:right="545"/>
        <w:rPr>
          <w:rFonts w:cs="Century Gothic"/>
          <w:szCs w:val="20"/>
        </w:rPr>
      </w:pPr>
    </w:p>
    <w:p w14:paraId="4B67EEEB" w14:textId="6A5341D9" w:rsidR="00C14EF2" w:rsidRPr="007B5468" w:rsidRDefault="001A63D6" w:rsidP="001A63D6">
      <w:pPr>
        <w:pStyle w:val="ListParagraph"/>
        <w:numPr>
          <w:ilvl w:val="0"/>
          <w:numId w:val="6"/>
        </w:numPr>
        <w:spacing w:line="360" w:lineRule="auto"/>
        <w:ind w:right="544"/>
        <w:contextualSpacing/>
        <w:rPr>
          <w:b/>
          <w:color w:val="2E74B5" w:themeColor="accent1" w:themeShade="BF"/>
          <w:szCs w:val="20"/>
        </w:rPr>
      </w:pPr>
      <w:r>
        <w:rPr>
          <w:b/>
          <w:bCs/>
          <w:color w:val="2E74B5" w:themeColor="accent1" w:themeShade="BF"/>
        </w:rPr>
        <w:t xml:space="preserve">الخطوات التالية في مواصفة </w:t>
      </w:r>
      <w:r>
        <w:rPr>
          <w:b/>
          <w:color w:val="2E74B5" w:themeColor="accent1" w:themeShade="BF"/>
          <w:rtl w:val="0"/>
        </w:rPr>
        <w:t>ICANN</w:t>
      </w:r>
      <w:r>
        <w:rPr>
          <w:b/>
          <w:bCs/>
          <w:color w:val="2E74B5" w:themeColor="accent1" w:themeShade="BF"/>
        </w:rPr>
        <w:t xml:space="preserve"> المؤقتة للامتثال لقانون حماية البيانات العامة </w:t>
      </w:r>
      <w:r>
        <w:rPr>
          <w:b/>
          <w:color w:val="2E74B5" w:themeColor="accent1" w:themeShade="BF"/>
          <w:rtl w:val="0"/>
        </w:rPr>
        <w:t>GDPR</w:t>
      </w:r>
      <w:r>
        <w:rPr>
          <w:b/>
          <w:bCs/>
          <w:color w:val="2E74B5" w:themeColor="accent1" w:themeShade="BF"/>
        </w:rPr>
        <w:t>.</w:t>
      </w:r>
    </w:p>
    <w:p w14:paraId="1CF693AB" w14:textId="15DA5D6D" w:rsidR="00E366DB" w:rsidRDefault="001A63D6" w:rsidP="00E366DB">
      <w:pPr>
        <w:pStyle w:val="BodyText"/>
      </w:pPr>
      <w:r>
        <w:t xml:space="preserve">يدرس مجلس </w:t>
      </w:r>
      <w:r>
        <w:rPr>
          <w:rtl w:val="0"/>
        </w:rPr>
        <w:t>GNSO</w:t>
      </w:r>
      <w:r>
        <w:t xml:space="preserve"> خيارات من أجل توفير إطار عمل طويل الأجل للسياسات من أجل المشكلات التي تغطيها </w:t>
      </w:r>
      <w:hyperlink r:id="rId8">
        <w:r>
          <w:rPr>
            <w:rStyle w:val="Hyperlink"/>
          </w:rPr>
          <w:t xml:space="preserve">المواصفة المؤقتة لبيانات تسجيل نطاقات </w:t>
        </w:r>
        <w:r>
          <w:rPr>
            <w:rStyle w:val="Hyperlink"/>
            <w:rtl w:val="0"/>
          </w:rPr>
          <w:t>gTLD</w:t>
        </w:r>
      </w:hyperlink>
      <w:r>
        <w:t xml:space="preserve"> في </w:t>
      </w:r>
      <w:r>
        <w:rPr>
          <w:rtl w:val="0"/>
        </w:rPr>
        <w:t>ICANN</w:t>
      </w:r>
      <w:r>
        <w:t>. والخيار الأرجح يتمثل في عملية وضع سياسات عاجلة (</w:t>
      </w:r>
      <w:r>
        <w:rPr>
          <w:rtl w:val="0"/>
        </w:rPr>
        <w:t>EPDP</w:t>
      </w:r>
      <w:r>
        <w:t xml:space="preserve">). ويلقى هذا تأييدًا من مجلس إدارة </w:t>
      </w:r>
      <w:r>
        <w:rPr>
          <w:rtl w:val="0"/>
        </w:rPr>
        <w:t>ICANN</w:t>
      </w:r>
      <w:r>
        <w:t xml:space="preserve"> باعتبارها عملية السياسة المناسبة بموجب لوائح </w:t>
      </w:r>
      <w:r>
        <w:rPr>
          <w:rtl w:val="0"/>
        </w:rPr>
        <w:t>ICANN</w:t>
      </w:r>
      <w:r>
        <w:t xml:space="preserve"> الداخلية. وفي وقت إعداد هذا الموجز، لم تبدأ </w:t>
      </w:r>
      <w:r>
        <w:rPr>
          <w:rtl w:val="0"/>
        </w:rPr>
        <w:t>GNSO</w:t>
      </w:r>
      <w:r>
        <w:t xml:space="preserve"> رسميًا عملية </w:t>
      </w:r>
      <w:r>
        <w:rPr>
          <w:rtl w:val="0"/>
        </w:rPr>
        <w:t>GNSO</w:t>
      </w:r>
      <w:r>
        <w:t xml:space="preserve"> المعجّلة لوضع السياسات، ولم تقرر ما إن كانت هناك منظمات دعم/لجان استشارية أخرى ستشارك وكيفية ذلك.</w:t>
      </w:r>
    </w:p>
    <w:p w14:paraId="228B1A72" w14:textId="5AFB17C3" w:rsidR="005E361F" w:rsidRDefault="005736A1" w:rsidP="005E361F">
      <w:pPr>
        <w:pStyle w:val="BodyText"/>
      </w:pPr>
      <w:r>
        <w:t>وسوف يتم تحديث هذه المعلومات بحلول موعد الاجتماع، حيث إنها تخضع لمناقشات مستمرة فيما بين نطاق واسع من الأطراف.</w:t>
      </w:r>
    </w:p>
    <w:p w14:paraId="6E57DFC5" w14:textId="6022CBA8" w:rsidR="00C14EF2" w:rsidRPr="00984595" w:rsidRDefault="005736A1" w:rsidP="00A5021B">
      <w:pPr>
        <w:pStyle w:val="BodyText"/>
        <w:numPr>
          <w:ilvl w:val="0"/>
          <w:numId w:val="6"/>
        </w:numPr>
        <w:rPr>
          <w:b/>
          <w:color w:val="2E74B5" w:themeColor="accent1" w:themeShade="BF"/>
        </w:rPr>
      </w:pPr>
      <w:r>
        <w:rPr>
          <w:b/>
          <w:bCs/>
          <w:color w:val="2E74B5" w:themeColor="accent1" w:themeShade="BF"/>
        </w:rPr>
        <w:lastRenderedPageBreak/>
        <w:t xml:space="preserve">عملية وضع السياسات في </w:t>
      </w:r>
      <w:r>
        <w:rPr>
          <w:b/>
          <w:color w:val="2E74B5" w:themeColor="accent1" w:themeShade="BF"/>
          <w:rtl w:val="0"/>
        </w:rPr>
        <w:t>GNSO</w:t>
      </w:r>
      <w:r>
        <w:rPr>
          <w:b/>
          <w:bCs/>
          <w:color w:val="2E74B5" w:themeColor="accent1" w:themeShade="BF"/>
        </w:rPr>
        <w:t xml:space="preserve"> بخصوص الإجراءات اللاحقة لنطاقات </w:t>
      </w:r>
      <w:r>
        <w:rPr>
          <w:b/>
          <w:color w:val="2E74B5" w:themeColor="accent1" w:themeShade="BF"/>
          <w:rtl w:val="0"/>
        </w:rPr>
        <w:t>gTLD</w:t>
      </w:r>
      <w:r>
        <w:rPr>
          <w:b/>
          <w:bCs/>
          <w:color w:val="2E74B5" w:themeColor="accent1" w:themeShade="BF"/>
        </w:rPr>
        <w:t xml:space="preserve"> الجديدة: تقدم في مسارات العمل 1-4 ومسار العمل 5.</w:t>
      </w:r>
    </w:p>
    <w:p w14:paraId="3A35C85C" w14:textId="5C480061" w:rsidR="00593EF7" w:rsidRDefault="00593EF7" w:rsidP="00593EF7">
      <w:pPr>
        <w:pStyle w:val="BodyText"/>
      </w:pPr>
      <w:r>
        <w:t>راجع بيان الإحاطة المنفصل المقدم لبند جدول الأعمال رقم 6.</w:t>
      </w:r>
    </w:p>
    <w:p w14:paraId="1F417124" w14:textId="37AFFC41" w:rsidR="005E361F" w:rsidRDefault="005E361F" w:rsidP="005E361F">
      <w:pPr>
        <w:pStyle w:val="BodyText"/>
      </w:pPr>
      <w:r>
        <w:t xml:space="preserve">قد ترغب </w:t>
      </w:r>
      <w:r>
        <w:rPr>
          <w:rtl w:val="0"/>
        </w:rPr>
        <w:t>GAC</w:t>
      </w:r>
      <w:r>
        <w:t xml:space="preserve"> في مطالبة أعضاء مجلس </w:t>
      </w:r>
      <w:r>
        <w:rPr>
          <w:rtl w:val="0"/>
        </w:rPr>
        <w:t>GNSO</w:t>
      </w:r>
      <w:r>
        <w:t>:</w:t>
      </w:r>
    </w:p>
    <w:p w14:paraId="2C9E41F4" w14:textId="0A8D93D4" w:rsidR="005E361F" w:rsidRDefault="005E361F" w:rsidP="00A5021B">
      <w:pPr>
        <w:pStyle w:val="BodyText"/>
        <w:numPr>
          <w:ilvl w:val="0"/>
          <w:numId w:val="7"/>
        </w:numPr>
      </w:pPr>
      <w:r>
        <w:t xml:space="preserve">هل لديهم وجهة نظر حول أي من الروابط بين الأطر الزمنية لعملية </w:t>
      </w:r>
      <w:r>
        <w:rPr>
          <w:rtl w:val="0"/>
        </w:rPr>
        <w:t>PDP</w:t>
      </w:r>
      <w:r>
        <w:t xml:space="preserve"> هذه وبدء </w:t>
      </w:r>
      <w:r>
        <w:rPr>
          <w:rtl w:val="0"/>
        </w:rPr>
        <w:t>ICANN</w:t>
      </w:r>
      <w:r>
        <w:t xml:space="preserve"> في جولة لنطاقات </w:t>
      </w:r>
      <w:r>
        <w:rPr>
          <w:rtl w:val="0"/>
        </w:rPr>
        <w:t>gTLD</w:t>
      </w:r>
      <w:r>
        <w:t xml:space="preserve"> الجديدة؟</w:t>
      </w:r>
    </w:p>
    <w:p w14:paraId="1105D40B" w14:textId="12537CF7" w:rsidR="00593EF7" w:rsidRPr="00593EF7" w:rsidRDefault="005E361F" w:rsidP="00A5021B">
      <w:pPr>
        <w:pStyle w:val="BodyText"/>
        <w:numPr>
          <w:ilvl w:val="0"/>
          <w:numId w:val="7"/>
        </w:numPr>
      </w:pPr>
      <w:r>
        <w:t xml:space="preserve">هل يمكن لمسار العمل 5 (الأسماء الجغرافية) الذي يعقد جلسات العمل الخاصة به كجلسات مفتوحة للمجتمعات المتعددة في اجتماع </w:t>
      </w:r>
      <w:r>
        <w:rPr>
          <w:rtl w:val="0"/>
        </w:rPr>
        <w:t>ICANN</w:t>
      </w:r>
      <w:r>
        <w:t xml:space="preserve"> هذا أن ينظر إليه باعتباره اختبارًا لهذا النسق للاجتماعات المستقبلية؟</w:t>
      </w:r>
    </w:p>
    <w:p w14:paraId="10D6AD3B" w14:textId="70DA2836" w:rsidR="00406CEE" w:rsidRPr="00984595" w:rsidRDefault="00C14EF2" w:rsidP="00982B73">
      <w:pPr>
        <w:pStyle w:val="Heading2"/>
        <w:rPr>
          <w:sz w:val="20"/>
          <w:szCs w:val="20"/>
        </w:rPr>
      </w:pPr>
      <w:r>
        <w:rPr>
          <w:sz w:val="20"/>
          <w:szCs w:val="20"/>
        </w:rPr>
        <w:t>الوضع الحالي</w:t>
      </w:r>
    </w:p>
    <w:p w14:paraId="31452662" w14:textId="6DCB7F6F" w:rsidR="00982B73" w:rsidRDefault="00982B73" w:rsidP="00982B73">
      <w:pPr>
        <w:pStyle w:val="BodyText"/>
        <w:ind w:right="545"/>
      </w:pPr>
      <w:r>
        <w:t xml:space="preserve">تجتمع </w:t>
      </w:r>
      <w:r>
        <w:rPr>
          <w:rtl w:val="0"/>
        </w:rPr>
        <w:t>GAC</w:t>
      </w:r>
      <w:r>
        <w:t xml:space="preserve"> في العادة مع رئيس مجلس </w:t>
      </w:r>
      <w:hyperlink r:id="rId9">
        <w:r>
          <w:rPr>
            <w:rStyle w:val="Hyperlink"/>
            <w:rtl w:val="0"/>
          </w:rPr>
          <w:t>GNSO</w:t>
        </w:r>
      </w:hyperlink>
      <w:r>
        <w:t xml:space="preserve"> (منظمة دعم الأسماء العامة) وأعضاء آخرون في كل اجتماع من اجتماعات </w:t>
      </w:r>
      <w:r>
        <w:rPr>
          <w:rtl w:val="0"/>
        </w:rPr>
        <w:t>ICANN</w:t>
      </w:r>
      <w:r>
        <w:t xml:space="preserve"> من أجل مناقشة المشكلات ذات الاهتمام المشترك وتحديد طرق لتحقيق أفضل تعاون.  والرئيس الحالي لمجلس </w:t>
      </w:r>
      <w:r>
        <w:rPr>
          <w:rtl w:val="0"/>
        </w:rPr>
        <w:t>GNSO</w:t>
      </w:r>
      <w:r>
        <w:t xml:space="preserve"> هو الدكتورة هيذر فوريست.  ونواب الرئيس هم السيدة دونا أوستين والسيد رفيق دماك.</w:t>
      </w:r>
    </w:p>
    <w:p w14:paraId="32E4BF3C" w14:textId="5903EC9E" w:rsidR="00A87101" w:rsidRDefault="00A87101" w:rsidP="00982B73">
      <w:pPr>
        <w:pStyle w:val="BodyText"/>
        <w:ind w:right="545"/>
      </w:pPr>
      <w:r>
        <w:t xml:space="preserve">علمًا بأن منسق علاقات </w:t>
      </w:r>
      <w:r>
        <w:rPr>
          <w:rtl w:val="0"/>
        </w:rPr>
        <w:t>GNSO</w:t>
      </w:r>
      <w:r>
        <w:t xml:space="preserve"> لدى </w:t>
      </w:r>
      <w:r>
        <w:rPr>
          <w:rtl w:val="0"/>
        </w:rPr>
        <w:t>GAC</w:t>
      </w:r>
      <w:r>
        <w:t xml:space="preserve"> هو السيد جون (جولف) هيلسينغس. </w:t>
      </w:r>
    </w:p>
    <w:p w14:paraId="44DE4B61" w14:textId="77777777" w:rsidR="00982B73" w:rsidRDefault="00982B73" w:rsidP="00982B73">
      <w:pPr>
        <w:pStyle w:val="BodyText"/>
        <w:ind w:right="545"/>
      </w:pPr>
      <w:r>
        <w:t xml:space="preserve">وتعد منظمة </w:t>
      </w:r>
      <w:r>
        <w:rPr>
          <w:rtl w:val="0"/>
        </w:rPr>
        <w:t>GNSO</w:t>
      </w:r>
      <w:r>
        <w:t xml:space="preserve"> واحدة من أكبر منظمات الدعم داخل إطار عمل </w:t>
      </w:r>
      <w:r>
        <w:rPr>
          <w:rtl w:val="0"/>
        </w:rPr>
        <w:t>ICANN</w:t>
      </w:r>
      <w:r>
        <w:t xml:space="preserve">.  فهي تقوم بوضع ومراجعة السياسات لنطاقات </w:t>
      </w:r>
      <w:r>
        <w:rPr>
          <w:rtl w:val="0"/>
        </w:rPr>
        <w:t>gTLD</w:t>
      </w:r>
      <w:r>
        <w:t xml:space="preserve"> (على سبيل المثال لكل من </w:t>
      </w:r>
      <w:r>
        <w:rPr>
          <w:rtl w:val="0"/>
        </w:rPr>
        <w:t>com</w:t>
      </w:r>
      <w:r>
        <w:t>. و</w:t>
      </w:r>
      <w:r>
        <w:rPr>
          <w:rtl w:val="0"/>
        </w:rPr>
        <w:t>org</w:t>
      </w:r>
      <w:r>
        <w:t>. و</w:t>
      </w:r>
      <w:r>
        <w:rPr>
          <w:rtl w:val="0"/>
        </w:rPr>
        <w:t>hotel</w:t>
      </w:r>
      <w:r>
        <w:t xml:space="preserve">.). يمكن العثور على المزيد من المعلومات حول </w:t>
      </w:r>
      <w:r>
        <w:rPr>
          <w:rtl w:val="0"/>
        </w:rPr>
        <w:t>GNSO</w:t>
      </w:r>
      <w:r>
        <w:t xml:space="preserve"> وعملية وضع السياسات بها على </w:t>
      </w:r>
      <w:hyperlink r:id="rId10">
        <w:r>
          <w:rPr>
            <w:rStyle w:val="Hyperlink"/>
            <w:rtl w:val="0"/>
          </w:rPr>
          <w:t>http://gnso.icann.org/en/about</w:t>
        </w:r>
      </w:hyperlink>
      <w:r>
        <w:t xml:space="preserve">. </w:t>
      </w:r>
    </w:p>
    <w:p w14:paraId="740A9242" w14:textId="5D3A8BE8" w:rsidR="00076811" w:rsidRPr="00A13403" w:rsidRDefault="00982B73" w:rsidP="00982B73">
      <w:pPr>
        <w:pStyle w:val="BodyText"/>
        <w:ind w:right="545"/>
      </w:pPr>
      <w:r>
        <w:t xml:space="preserve">إن </w:t>
      </w:r>
      <w:r>
        <w:rPr>
          <w:rtl w:val="0"/>
        </w:rPr>
        <w:t>GNSO</w:t>
      </w:r>
      <w:r>
        <w:t xml:space="preserve"> عبارة عن "اتحاد" مكون من مجموعات مختلفة من أصحاب المصلحة.  وتتألف من "هيئتين"، إحداها للأطراف المتعاقدة مع </w:t>
      </w:r>
      <w:r>
        <w:rPr>
          <w:rtl w:val="0"/>
        </w:rPr>
        <w:t>ICANN</w:t>
      </w:r>
      <w:r>
        <w:t xml:space="preserve"> (السجلات وأمناء السجلات) وواحدة للأطراف الأخرى (المستخدمين التجاريين ومستخدمي الأعمال، والملكية الفكرية وموفري خدمات الإنترنت وأصحاب المصلحة غير التجاريين). </w:t>
      </w:r>
    </w:p>
    <w:p w14:paraId="04C07B0D" w14:textId="4C3CCD00" w:rsidR="00406CEE" w:rsidRDefault="00076811" w:rsidP="00982B73">
      <w:pPr>
        <w:pStyle w:val="Heading2"/>
      </w:pPr>
      <w:r>
        <w:t>معلومات إضافية</w:t>
      </w:r>
    </w:p>
    <w:p w14:paraId="5499DB39" w14:textId="295F586C" w:rsidR="00076811" w:rsidRDefault="006D6401" w:rsidP="00AF4D4A">
      <w:pPr>
        <w:pStyle w:val="BodyText"/>
        <w:ind w:right="544"/>
      </w:pPr>
      <w:hyperlink r:id="rId11">
        <w:r w:rsidR="00CB0F29">
          <w:rPr>
            <w:rStyle w:val="Hyperlink"/>
          </w:rPr>
          <w:t xml:space="preserve">موقع </w:t>
        </w:r>
        <w:r w:rsidR="00CB0F29">
          <w:rPr>
            <w:rStyle w:val="Hyperlink"/>
            <w:rtl w:val="0"/>
          </w:rPr>
          <w:t>GNSO</w:t>
        </w:r>
        <w:r w:rsidR="00CB0F29">
          <w:rPr>
            <w:rStyle w:val="Hyperlink"/>
          </w:rPr>
          <w:t xml:space="preserve"> على الويب</w:t>
        </w:r>
      </w:hyperlink>
    </w:p>
    <w:p w14:paraId="7A47C443" w14:textId="05D26D32" w:rsidR="00D65E34" w:rsidRDefault="006D6401" w:rsidP="00A87101">
      <w:pPr>
        <w:pStyle w:val="BodyText"/>
        <w:ind w:right="544"/>
      </w:pPr>
      <w:hyperlink r:id="rId12">
        <w:r w:rsidR="00CB0F29">
          <w:rPr>
            <w:rStyle w:val="Hyperlink"/>
          </w:rPr>
          <w:t xml:space="preserve">الأرشيف العام لبريد مجلس </w:t>
        </w:r>
        <w:r w:rsidR="00CB0F29">
          <w:rPr>
            <w:rStyle w:val="Hyperlink"/>
            <w:rtl w:val="0"/>
          </w:rPr>
          <w:t>GNSO</w:t>
        </w:r>
        <w:r w:rsidR="00CB0F29">
          <w:rPr>
            <w:rStyle w:val="Hyperlink"/>
          </w:rPr>
          <w:t xml:space="preserve"> الإلكتروني</w:t>
        </w:r>
      </w:hyperlink>
    </w:p>
    <w:p w14:paraId="2125180A" w14:textId="77777777" w:rsidR="007B5468" w:rsidRDefault="007B5468" w:rsidP="00F85F5F">
      <w:pPr>
        <w:pStyle w:val="Heading2"/>
      </w:pPr>
      <w:bookmarkStart w:id="1" w:name="_Hlk484433727"/>
    </w:p>
    <w:p w14:paraId="1384AAB8" w14:textId="77777777" w:rsidR="007B5468" w:rsidRDefault="007B5468" w:rsidP="00F85F5F">
      <w:pPr>
        <w:pStyle w:val="Heading2"/>
      </w:pPr>
    </w:p>
    <w:p w14:paraId="0F44955C" w14:textId="638F8240" w:rsidR="00F85F5F" w:rsidRDefault="00F85F5F" w:rsidP="00F85F5F">
      <w:pPr>
        <w:pStyle w:val="Heading2"/>
      </w:pPr>
      <w:r>
        <w:t>إدارة الوثائق</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85F5F" w:rsidRPr="003F43E3" w14:paraId="5E017AE1" w14:textId="77777777" w:rsidTr="00D27E64">
        <w:tc>
          <w:tcPr>
            <w:tcW w:w="3261" w:type="dxa"/>
            <w:vAlign w:val="center"/>
          </w:tcPr>
          <w:p w14:paraId="55229821" w14:textId="77777777" w:rsidR="00F85F5F" w:rsidRPr="003F43E3" w:rsidRDefault="00F85F5F" w:rsidP="00D27E64">
            <w:pPr>
              <w:ind w:right="-132"/>
              <w:rPr>
                <w:b/>
                <w:sz w:val="20"/>
                <w:szCs w:val="20"/>
              </w:rPr>
            </w:pPr>
            <w:r>
              <w:rPr>
                <w:b/>
                <w:bCs/>
                <w:sz w:val="20"/>
                <w:szCs w:val="20"/>
              </w:rPr>
              <w:t>العنوان</w:t>
            </w:r>
          </w:p>
        </w:tc>
        <w:tc>
          <w:tcPr>
            <w:tcW w:w="5811" w:type="dxa"/>
            <w:vAlign w:val="center"/>
          </w:tcPr>
          <w:p w14:paraId="2B32FC30" w14:textId="3D712458" w:rsidR="00F85F5F" w:rsidRPr="00EA3A02" w:rsidRDefault="00F85F5F" w:rsidP="00D27E64">
            <w:pPr>
              <w:ind w:right="545"/>
              <w:rPr>
                <w:sz w:val="20"/>
                <w:szCs w:val="20"/>
              </w:rPr>
            </w:pPr>
            <w:r>
              <w:rPr>
                <w:sz w:val="20"/>
                <w:szCs w:val="20"/>
              </w:rPr>
              <w:t>الاجتماع مع المنظمة الداعمة للأسماء العامة (</w:t>
            </w:r>
            <w:r>
              <w:rPr>
                <w:sz w:val="20"/>
                <w:rtl w:val="0"/>
              </w:rPr>
              <w:t>GNSO</w:t>
            </w:r>
            <w:r>
              <w:rPr>
                <w:sz w:val="20"/>
                <w:szCs w:val="20"/>
              </w:rPr>
              <w:t>)</w:t>
            </w:r>
          </w:p>
        </w:tc>
      </w:tr>
      <w:tr w:rsidR="00F85F5F" w:rsidRPr="003F43E3" w14:paraId="1FA7A40C" w14:textId="77777777" w:rsidTr="00D27E64">
        <w:tc>
          <w:tcPr>
            <w:tcW w:w="3261" w:type="dxa"/>
            <w:vAlign w:val="center"/>
          </w:tcPr>
          <w:p w14:paraId="67C5478D" w14:textId="77777777" w:rsidR="00F85F5F" w:rsidRPr="003F43E3" w:rsidRDefault="00F85F5F" w:rsidP="00D27E64">
            <w:pPr>
              <w:ind w:right="-132"/>
              <w:rPr>
                <w:b/>
                <w:sz w:val="20"/>
                <w:szCs w:val="20"/>
              </w:rPr>
            </w:pPr>
            <w:r>
              <w:rPr>
                <w:b/>
                <w:bCs/>
                <w:sz w:val="20"/>
                <w:szCs w:val="20"/>
              </w:rPr>
              <w:t>التوزيع</w:t>
            </w:r>
          </w:p>
        </w:tc>
        <w:tc>
          <w:tcPr>
            <w:tcW w:w="5811" w:type="dxa"/>
            <w:vAlign w:val="center"/>
          </w:tcPr>
          <w:p w14:paraId="1656EBFA" w14:textId="77777777" w:rsidR="00F85F5F" w:rsidRPr="003F43E3" w:rsidRDefault="00F85F5F" w:rsidP="00D27E64">
            <w:pPr>
              <w:ind w:right="545"/>
              <w:rPr>
                <w:sz w:val="20"/>
                <w:szCs w:val="20"/>
              </w:rPr>
            </w:pPr>
            <w:r>
              <w:rPr>
                <w:sz w:val="20"/>
                <w:szCs w:val="20"/>
              </w:rPr>
              <w:t xml:space="preserve">أعضاء </w:t>
            </w:r>
            <w:r>
              <w:rPr>
                <w:sz w:val="20"/>
                <w:rtl w:val="0"/>
              </w:rPr>
              <w:t>GAC</w:t>
            </w:r>
          </w:p>
        </w:tc>
      </w:tr>
      <w:tr w:rsidR="00A87101" w:rsidRPr="003F43E3" w14:paraId="0242B373" w14:textId="77777777" w:rsidTr="00D27E64">
        <w:tc>
          <w:tcPr>
            <w:tcW w:w="3261" w:type="dxa"/>
            <w:vAlign w:val="center"/>
          </w:tcPr>
          <w:p w14:paraId="738FD29E" w14:textId="151554DE" w:rsidR="00A87101" w:rsidRPr="003F43E3" w:rsidRDefault="00A87101" w:rsidP="00D27E64">
            <w:pPr>
              <w:ind w:right="-132"/>
              <w:rPr>
                <w:b/>
                <w:sz w:val="20"/>
                <w:szCs w:val="20"/>
              </w:rPr>
            </w:pPr>
            <w:r>
              <w:rPr>
                <w:b/>
                <w:bCs/>
                <w:sz w:val="20"/>
                <w:szCs w:val="20"/>
              </w:rPr>
              <w:t>تاريخ التوزيع</w:t>
            </w:r>
          </w:p>
        </w:tc>
        <w:tc>
          <w:tcPr>
            <w:tcW w:w="5811" w:type="dxa"/>
            <w:vAlign w:val="center"/>
          </w:tcPr>
          <w:p w14:paraId="4D2F0033" w14:textId="77777777" w:rsidR="00A87101" w:rsidRDefault="007B5468" w:rsidP="00D27E64">
            <w:pPr>
              <w:ind w:right="545"/>
              <w:rPr>
                <w:sz w:val="20"/>
                <w:szCs w:val="20"/>
              </w:rPr>
            </w:pPr>
            <w:r>
              <w:rPr>
                <w:sz w:val="20"/>
                <w:szCs w:val="20"/>
              </w:rPr>
              <w:t>الإصدار 1.0، 7 يونيو 2018</w:t>
            </w:r>
          </w:p>
          <w:p w14:paraId="6F8FFF51" w14:textId="3AAE771C" w:rsidR="007B5468" w:rsidRDefault="007B5468" w:rsidP="00D27E64">
            <w:pPr>
              <w:ind w:right="545"/>
              <w:rPr>
                <w:sz w:val="20"/>
                <w:szCs w:val="20"/>
              </w:rPr>
            </w:pPr>
            <w:r>
              <w:rPr>
                <w:sz w:val="20"/>
                <w:szCs w:val="20"/>
              </w:rPr>
              <w:t>الإصدار 2.0، 14 يونيو 2018</w:t>
            </w:r>
          </w:p>
        </w:tc>
      </w:tr>
    </w:tbl>
    <w:bookmarkEnd w:id="1"/>
    <w:p w14:paraId="14C6D19E" w14:textId="56BB43D3" w:rsidR="00373FD7" w:rsidRPr="00373FD7" w:rsidRDefault="00373FD7" w:rsidP="00373FD7">
      <w:pPr>
        <w:pStyle w:val="Heading1"/>
        <w:ind w:right="545"/>
        <w:rPr>
          <w:sz w:val="24"/>
          <w:szCs w:val="24"/>
        </w:rPr>
      </w:pPr>
      <w:r>
        <w:t xml:space="preserve">المرفق أ: موجز ما بين جلسات </w:t>
      </w:r>
      <w:r>
        <w:rPr>
          <w:rtl w:val="0"/>
        </w:rPr>
        <w:t>GAC</w:t>
      </w:r>
      <w:r>
        <w:t xml:space="preserve">: وثيقة </w:t>
      </w:r>
      <w:r>
        <w:rPr>
          <w:rtl w:val="0"/>
        </w:rPr>
        <w:t>PDP 3.0</w:t>
      </w:r>
      <w:r>
        <w:t xml:space="preserve"> من </w:t>
      </w:r>
      <w:r>
        <w:rPr>
          <w:rtl w:val="0"/>
        </w:rPr>
        <w:t>GNSO</w:t>
      </w:r>
      <w:r>
        <w:t xml:space="preserve"> (</w:t>
      </w:r>
      <w:r>
        <w:rPr>
          <w:sz w:val="24"/>
          <w:szCs w:val="24"/>
        </w:rPr>
        <w:t xml:space="preserve">تم تعميمها إلى </w:t>
      </w:r>
      <w:r>
        <w:rPr>
          <w:sz w:val="24"/>
          <w:rtl w:val="0"/>
        </w:rPr>
        <w:t>GAC</w:t>
      </w:r>
      <w:r>
        <w:rPr>
          <w:sz w:val="24"/>
          <w:szCs w:val="24"/>
        </w:rPr>
        <w:t xml:space="preserve"> في 25 مايو/أيار 2018)</w:t>
      </w:r>
    </w:p>
    <w:p w14:paraId="2A64585E" w14:textId="77777777" w:rsidR="00373FD7" w:rsidRDefault="00373FD7" w:rsidP="00373FD7">
      <w:pPr>
        <w:pStyle w:val="Heading2"/>
      </w:pPr>
      <w:r>
        <w:t>القضايا</w:t>
      </w:r>
    </w:p>
    <w:p w14:paraId="669EC9F0" w14:textId="77777777" w:rsidR="00373FD7" w:rsidRDefault="00373FD7" w:rsidP="00A5021B">
      <w:pPr>
        <w:pStyle w:val="ListParagraph"/>
        <w:numPr>
          <w:ilvl w:val="0"/>
          <w:numId w:val="10"/>
        </w:numPr>
        <w:spacing w:before="100" w:beforeAutospacing="1" w:after="240"/>
        <w:ind w:right="545"/>
        <w:rPr>
          <w:szCs w:val="20"/>
        </w:rPr>
      </w:pPr>
      <w:r>
        <w:t xml:space="preserve">المشكلات ذات الصلة بصناعة السياسات في </w:t>
      </w:r>
      <w:r>
        <w:rPr>
          <w:rtl w:val="0"/>
        </w:rPr>
        <w:t>ICANN</w:t>
      </w:r>
      <w:r>
        <w:t xml:space="preserve"> لنطاقات المستوى الأعلى العامة (</w:t>
      </w:r>
      <w:r>
        <w:rPr>
          <w:rtl w:val="0"/>
        </w:rPr>
        <w:t>gTLD</w:t>
      </w:r>
      <w:r>
        <w:t>).</w:t>
      </w:r>
    </w:p>
    <w:p w14:paraId="74B5FA70" w14:textId="6D12D223" w:rsidR="00373FD7" w:rsidRDefault="00373FD7" w:rsidP="00A5021B">
      <w:pPr>
        <w:pStyle w:val="ListParagraph"/>
        <w:numPr>
          <w:ilvl w:val="0"/>
          <w:numId w:val="10"/>
        </w:numPr>
        <w:spacing w:before="100" w:beforeAutospacing="1" w:after="240"/>
        <w:ind w:right="545"/>
        <w:rPr>
          <w:szCs w:val="20"/>
        </w:rPr>
      </w:pPr>
      <w:r>
        <w:t>التحسينات المحتملة التي تنظر فيها منظمة دعم الأسماء العامة (</w:t>
      </w:r>
      <w:r>
        <w:rPr>
          <w:rtl w:val="0"/>
        </w:rPr>
        <w:t>GNSO</w:t>
      </w:r>
      <w:r>
        <w:t>) في الوقت الحالي.</w:t>
      </w:r>
    </w:p>
    <w:p w14:paraId="04559D5E" w14:textId="77777777" w:rsidR="00373FD7" w:rsidRPr="00927C0B" w:rsidRDefault="00373FD7" w:rsidP="00A5021B">
      <w:pPr>
        <w:pStyle w:val="ListParagraph"/>
        <w:numPr>
          <w:ilvl w:val="0"/>
          <w:numId w:val="10"/>
        </w:numPr>
        <w:spacing w:before="100" w:beforeAutospacing="1" w:after="240"/>
        <w:ind w:right="545"/>
        <w:rPr>
          <w:szCs w:val="20"/>
        </w:rPr>
      </w:pPr>
      <w:r>
        <w:t xml:space="preserve">تعقيبات </w:t>
      </w:r>
      <w:r>
        <w:rPr>
          <w:rtl w:val="0"/>
        </w:rPr>
        <w:t>GAC</w:t>
      </w:r>
      <w:r>
        <w:t xml:space="preserve"> المحتملة على هذه العملية.</w:t>
      </w:r>
    </w:p>
    <w:p w14:paraId="6382CA3B" w14:textId="77777777" w:rsidR="00373FD7" w:rsidRDefault="00373FD7" w:rsidP="00373FD7">
      <w:pPr>
        <w:pStyle w:val="Heading2"/>
      </w:pPr>
      <w:r>
        <w:t xml:space="preserve">صناعة السياسات لنطاقات </w:t>
      </w:r>
      <w:r>
        <w:rPr>
          <w:rtl w:val="0"/>
        </w:rPr>
        <w:t>gTLD</w:t>
      </w:r>
    </w:p>
    <w:p w14:paraId="2B952448" w14:textId="77777777" w:rsidR="00373FD7" w:rsidRDefault="00373FD7" w:rsidP="00373FD7">
      <w:pPr>
        <w:spacing w:line="276" w:lineRule="auto"/>
        <w:jc w:val="both"/>
        <w:rPr>
          <w:rFonts w:cs="Arabic Transparent"/>
          <w:color w:val="000000"/>
          <w:sz w:val="20"/>
          <w:szCs w:val="20"/>
        </w:rPr>
      </w:pPr>
      <w:r>
        <w:rPr>
          <w:color w:val="000000"/>
          <w:sz w:val="20"/>
          <w:szCs w:val="20"/>
        </w:rPr>
        <w:t xml:space="preserve">تميل عملية صنع السياسات في </w:t>
      </w:r>
      <w:r>
        <w:rPr>
          <w:color w:val="000000"/>
          <w:sz w:val="20"/>
          <w:rtl w:val="0"/>
        </w:rPr>
        <w:t>ICANN</w:t>
      </w:r>
      <w:r>
        <w:rPr>
          <w:color w:val="000000"/>
          <w:sz w:val="20"/>
          <w:szCs w:val="20"/>
        </w:rPr>
        <w:t xml:space="preserve"> إلى التركيز على نطاقات </w:t>
      </w:r>
      <w:r>
        <w:rPr>
          <w:color w:val="000000"/>
          <w:sz w:val="20"/>
          <w:rtl w:val="0"/>
        </w:rPr>
        <w:t>gTLD</w:t>
      </w:r>
      <w:r>
        <w:rPr>
          <w:color w:val="000000"/>
          <w:sz w:val="20"/>
          <w:szCs w:val="20"/>
        </w:rPr>
        <w:t xml:space="preserve">، والتي تسري على نطاق عالمي، مقارنة بنطاقات </w:t>
      </w:r>
      <w:r>
        <w:rPr>
          <w:color w:val="000000"/>
          <w:sz w:val="20"/>
          <w:rtl w:val="0"/>
        </w:rPr>
        <w:t>ccTLD</w:t>
      </w:r>
      <w:r>
        <w:rPr>
          <w:color w:val="000000"/>
          <w:sz w:val="20"/>
          <w:szCs w:val="20"/>
        </w:rPr>
        <w:t xml:space="preserve"> التي يتم فيها وضع السياسات بشكل كبير على نطاق محلي. حددت لوائح </w:t>
      </w:r>
      <w:r>
        <w:rPr>
          <w:color w:val="000000"/>
          <w:sz w:val="20"/>
          <w:rtl w:val="0"/>
        </w:rPr>
        <w:t>ICANN</w:t>
      </w:r>
      <w:r>
        <w:rPr>
          <w:color w:val="000000"/>
          <w:sz w:val="20"/>
          <w:szCs w:val="20"/>
        </w:rPr>
        <w:t xml:space="preserve"> الداخلية والترتيبات الهيكلية عملية من أجل وضع سياسات </w:t>
      </w:r>
      <w:r>
        <w:rPr>
          <w:color w:val="000000"/>
          <w:sz w:val="20"/>
          <w:rtl w:val="0"/>
        </w:rPr>
        <w:t>gTLD</w:t>
      </w:r>
      <w:r>
        <w:rPr>
          <w:color w:val="000000"/>
          <w:sz w:val="20"/>
          <w:szCs w:val="20"/>
        </w:rPr>
        <w:t xml:space="preserve"> تتم إدارتها من خلال </w:t>
      </w:r>
      <w:r>
        <w:rPr>
          <w:color w:val="000000"/>
          <w:sz w:val="20"/>
          <w:rtl w:val="0"/>
        </w:rPr>
        <w:t>GNSO</w:t>
      </w:r>
      <w:r>
        <w:rPr>
          <w:color w:val="000000"/>
          <w:sz w:val="20"/>
          <w:szCs w:val="20"/>
        </w:rPr>
        <w:t xml:space="preserve"> عن طريق مجموعات العمل. </w:t>
      </w:r>
    </w:p>
    <w:p w14:paraId="139DB8BF" w14:textId="77777777" w:rsidR="00373FD7" w:rsidRDefault="00373FD7" w:rsidP="00373FD7">
      <w:pPr>
        <w:spacing w:line="276" w:lineRule="auto"/>
        <w:jc w:val="both"/>
        <w:rPr>
          <w:rFonts w:cs="Calibri"/>
          <w:color w:val="000000"/>
          <w:sz w:val="20"/>
          <w:szCs w:val="20"/>
        </w:rPr>
      </w:pPr>
    </w:p>
    <w:p w14:paraId="24C54204" w14:textId="77777777" w:rsidR="00373FD7" w:rsidRDefault="00373FD7" w:rsidP="00373FD7">
      <w:pPr>
        <w:spacing w:line="276" w:lineRule="auto"/>
        <w:jc w:val="both"/>
        <w:rPr>
          <w:rFonts w:cs="Arabic Transparent"/>
          <w:color w:val="000000"/>
          <w:sz w:val="20"/>
          <w:szCs w:val="20"/>
        </w:rPr>
      </w:pPr>
      <w:r>
        <w:rPr>
          <w:color w:val="000000"/>
          <w:sz w:val="20"/>
          <w:szCs w:val="20"/>
        </w:rPr>
        <w:t xml:space="preserve">أطلق مجلس </w:t>
      </w:r>
      <w:r>
        <w:rPr>
          <w:color w:val="000000"/>
          <w:sz w:val="20"/>
          <w:rtl w:val="0"/>
        </w:rPr>
        <w:t>GNSO</w:t>
      </w:r>
      <w:r>
        <w:rPr>
          <w:color w:val="000000"/>
          <w:sz w:val="20"/>
          <w:szCs w:val="20"/>
        </w:rPr>
        <w:t xml:space="preserve"> عملية مراجعة لكفاءة وفاعلية </w:t>
      </w:r>
      <w:r>
        <w:rPr>
          <w:color w:val="000000"/>
          <w:sz w:val="20"/>
          <w:rtl w:val="0"/>
        </w:rPr>
        <w:t>GNSO</w:t>
      </w:r>
      <w:r>
        <w:rPr>
          <w:color w:val="000000"/>
          <w:sz w:val="20"/>
          <w:szCs w:val="20"/>
        </w:rPr>
        <w:t xml:space="preserve"> وأعد فريق عمل </w:t>
      </w:r>
      <w:r>
        <w:rPr>
          <w:color w:val="000000"/>
          <w:sz w:val="20"/>
          <w:rtl w:val="0"/>
        </w:rPr>
        <w:t xml:space="preserve">ICANN </w:t>
      </w:r>
      <w:hyperlink r:id="rId13">
        <w:r>
          <w:rPr>
            <w:rStyle w:val="Hyperlink"/>
            <w:sz w:val="20"/>
            <w:szCs w:val="20"/>
          </w:rPr>
          <w:t>ورقة مناقشة</w:t>
        </w:r>
      </w:hyperlink>
      <w:r>
        <w:rPr>
          <w:color w:val="000000"/>
          <w:sz w:val="20"/>
          <w:rtl w:val="0"/>
        </w:rPr>
        <w:t xml:space="preserve"> ("PDP 3.0</w:t>
      </w:r>
      <w:r>
        <w:rPr>
          <w:color w:val="000000"/>
          <w:sz w:val="20"/>
          <w:szCs w:val="20"/>
          <w:rtl w:val="0"/>
        </w:rPr>
        <w:t>")</w:t>
      </w:r>
      <w:r>
        <w:rPr>
          <w:color w:val="000000"/>
          <w:sz w:val="20"/>
          <w:szCs w:val="20"/>
        </w:rPr>
        <w:t xml:space="preserve"> لكي تنظر فيها دوائر ومجموعات أصحاب المصلحة المختلفة في </w:t>
      </w:r>
      <w:r>
        <w:rPr>
          <w:color w:val="000000"/>
          <w:sz w:val="20"/>
          <w:rtl w:val="0"/>
        </w:rPr>
        <w:t>GNSO</w:t>
      </w:r>
      <w:r>
        <w:rPr>
          <w:color w:val="000000"/>
          <w:sz w:val="20"/>
          <w:szCs w:val="20"/>
        </w:rPr>
        <w:t>.</w:t>
      </w:r>
    </w:p>
    <w:p w14:paraId="3E8269FF" w14:textId="77777777" w:rsidR="00373FD7" w:rsidRDefault="00373FD7" w:rsidP="00373FD7">
      <w:pPr>
        <w:spacing w:line="276" w:lineRule="auto"/>
        <w:jc w:val="both"/>
        <w:rPr>
          <w:rFonts w:cs="Calibri"/>
          <w:color w:val="000000"/>
          <w:sz w:val="20"/>
          <w:szCs w:val="20"/>
        </w:rPr>
      </w:pPr>
    </w:p>
    <w:p w14:paraId="2C292D9C" w14:textId="77777777" w:rsidR="00373FD7" w:rsidRDefault="00373FD7" w:rsidP="00373FD7">
      <w:pPr>
        <w:spacing w:line="276" w:lineRule="auto"/>
        <w:jc w:val="both"/>
        <w:rPr>
          <w:rFonts w:cs="Arabic Transparent"/>
          <w:color w:val="000000"/>
          <w:sz w:val="20"/>
          <w:szCs w:val="20"/>
        </w:rPr>
      </w:pPr>
      <w:r>
        <w:rPr>
          <w:color w:val="000000"/>
          <w:sz w:val="20"/>
          <w:szCs w:val="20"/>
        </w:rPr>
        <w:t>وتحدد الورقة العديد من التحديات لهيكل مجموعات عمل عملية وضع السياسات الحالي:</w:t>
      </w:r>
    </w:p>
    <w:p w14:paraId="42C78892" w14:textId="77777777" w:rsidR="00373FD7" w:rsidRPr="006C4A48" w:rsidRDefault="00373FD7" w:rsidP="00373FD7">
      <w:pPr>
        <w:spacing w:line="276" w:lineRule="auto"/>
        <w:jc w:val="both"/>
        <w:rPr>
          <w:rFonts w:cs="Calibri"/>
          <w:color w:val="000000"/>
          <w:sz w:val="20"/>
          <w:szCs w:val="20"/>
        </w:rPr>
      </w:pPr>
    </w:p>
    <w:p w14:paraId="7BCF2D24" w14:textId="77777777" w:rsidR="00373FD7" w:rsidRPr="004B6515" w:rsidRDefault="00373FD7" w:rsidP="00A5021B">
      <w:pPr>
        <w:numPr>
          <w:ilvl w:val="0"/>
          <w:numId w:val="11"/>
        </w:numPr>
        <w:spacing w:line="276" w:lineRule="auto"/>
        <w:jc w:val="both"/>
        <w:rPr>
          <w:rFonts w:cs="Arabic Transparent"/>
          <w:color w:val="000000"/>
          <w:sz w:val="20"/>
          <w:szCs w:val="20"/>
        </w:rPr>
      </w:pPr>
      <w:r>
        <w:rPr>
          <w:color w:val="000000"/>
          <w:sz w:val="20"/>
          <w:szCs w:val="20"/>
        </w:rPr>
        <w:t>آليات مجموعة عمل عملية وضع السياسات: تحقق مجموعات العمل نموًا في حجمها لكن بها جهود غير متعادلة عبر المشاركين؛ وثمة جهد أقل تجاه أهداف المجموعات؛ ينتج "الإجماع بالاستنفاد" عن نقص محفزات إنهاء العمل؛ التوصل إلى توازن بين نتائج اجتماعات مجموعة العمل والبريد الإلكترون والدردشة إلخ يمثل مشكلة.</w:t>
      </w:r>
    </w:p>
    <w:p w14:paraId="5603B1B1" w14:textId="77777777" w:rsidR="00373FD7" w:rsidRPr="006C4A48" w:rsidRDefault="00373FD7" w:rsidP="00373FD7">
      <w:pPr>
        <w:spacing w:line="276" w:lineRule="auto"/>
        <w:ind w:left="720"/>
        <w:jc w:val="both"/>
        <w:rPr>
          <w:rFonts w:cs="Calibri"/>
          <w:color w:val="000000"/>
          <w:sz w:val="20"/>
          <w:szCs w:val="20"/>
        </w:rPr>
      </w:pPr>
    </w:p>
    <w:p w14:paraId="66C4B7A1" w14:textId="77777777" w:rsidR="00373FD7" w:rsidRPr="004B6515" w:rsidRDefault="00373FD7" w:rsidP="00A5021B">
      <w:pPr>
        <w:numPr>
          <w:ilvl w:val="0"/>
          <w:numId w:val="11"/>
        </w:numPr>
        <w:spacing w:line="276" w:lineRule="auto"/>
        <w:jc w:val="both"/>
        <w:rPr>
          <w:rFonts w:cs="Arabic Transparent"/>
          <w:color w:val="000000"/>
          <w:sz w:val="20"/>
          <w:szCs w:val="20"/>
        </w:rPr>
      </w:pPr>
      <w:r>
        <w:rPr>
          <w:color w:val="000000"/>
          <w:sz w:val="20"/>
          <w:szCs w:val="20"/>
        </w:rPr>
        <w:t>متطلبات وتوقعات القيادة-المهارة في مجموعة العمل تتعاظم، كما تتعاظم الطلبات على الوقت.</w:t>
      </w:r>
    </w:p>
    <w:p w14:paraId="23C57DA5" w14:textId="77777777" w:rsidR="00373FD7" w:rsidRPr="006C4A48" w:rsidRDefault="00373FD7" w:rsidP="00373FD7">
      <w:pPr>
        <w:spacing w:line="276" w:lineRule="auto"/>
        <w:jc w:val="both"/>
        <w:rPr>
          <w:rFonts w:cs="Calibri"/>
          <w:color w:val="000000"/>
          <w:sz w:val="20"/>
          <w:szCs w:val="20"/>
        </w:rPr>
      </w:pPr>
    </w:p>
    <w:p w14:paraId="6A71FAD4" w14:textId="77777777" w:rsidR="00373FD7" w:rsidRPr="004B6515" w:rsidRDefault="00373FD7" w:rsidP="00A5021B">
      <w:pPr>
        <w:numPr>
          <w:ilvl w:val="0"/>
          <w:numId w:val="11"/>
        </w:numPr>
        <w:spacing w:line="276" w:lineRule="auto"/>
        <w:jc w:val="both"/>
        <w:rPr>
          <w:rFonts w:cs="Arabic Transparent"/>
          <w:color w:val="000000"/>
          <w:sz w:val="20"/>
          <w:szCs w:val="20"/>
        </w:rPr>
      </w:pPr>
      <w:r>
        <w:rPr>
          <w:color w:val="000000"/>
          <w:sz w:val="20"/>
          <w:szCs w:val="20"/>
        </w:rPr>
        <w:t xml:space="preserve">تعقيد الموضوع: ثمة تداخلات مع الأعمال الأخرى عبر </w:t>
      </w:r>
      <w:r>
        <w:rPr>
          <w:color w:val="000000"/>
          <w:sz w:val="20"/>
          <w:rtl w:val="0"/>
        </w:rPr>
        <w:t>ICANN</w:t>
      </w:r>
      <w:r>
        <w:rPr>
          <w:color w:val="000000"/>
          <w:sz w:val="20"/>
          <w:szCs w:val="20"/>
        </w:rPr>
        <w:t xml:space="preserve">؛ الاستعداد للاجتماعات ومواكبة المناقشات المعقدة والصياغة من المشكلات. </w:t>
      </w:r>
    </w:p>
    <w:p w14:paraId="31B099B1" w14:textId="77777777" w:rsidR="00373FD7" w:rsidRPr="006C4A48" w:rsidRDefault="00373FD7" w:rsidP="00373FD7">
      <w:pPr>
        <w:spacing w:line="276" w:lineRule="auto"/>
        <w:jc w:val="both"/>
        <w:rPr>
          <w:rFonts w:cs="Calibri"/>
          <w:color w:val="000000"/>
          <w:sz w:val="20"/>
          <w:szCs w:val="20"/>
        </w:rPr>
      </w:pPr>
    </w:p>
    <w:p w14:paraId="5F04ECBF" w14:textId="77777777" w:rsidR="00373FD7" w:rsidRPr="004B6515" w:rsidRDefault="00373FD7" w:rsidP="00A5021B">
      <w:pPr>
        <w:numPr>
          <w:ilvl w:val="0"/>
          <w:numId w:val="11"/>
        </w:numPr>
        <w:spacing w:line="276" w:lineRule="auto"/>
        <w:jc w:val="both"/>
        <w:rPr>
          <w:rFonts w:cs="Arabic Transparent"/>
          <w:color w:val="000000"/>
          <w:sz w:val="20"/>
          <w:szCs w:val="20"/>
        </w:rPr>
      </w:pPr>
      <w:r>
        <w:rPr>
          <w:color w:val="000000"/>
          <w:sz w:val="20"/>
          <w:szCs w:val="20"/>
        </w:rPr>
        <w:t>بناء الإجماع - وهذا يمثل فنًا، ويمكن تعليمه لكن هذا لا يتم الآن.</w:t>
      </w:r>
    </w:p>
    <w:p w14:paraId="5AFB463C" w14:textId="77777777" w:rsidR="00373FD7" w:rsidRPr="006C4A48" w:rsidRDefault="00373FD7" w:rsidP="00373FD7">
      <w:pPr>
        <w:spacing w:line="276" w:lineRule="auto"/>
        <w:jc w:val="both"/>
        <w:rPr>
          <w:rFonts w:cs="Calibri"/>
          <w:color w:val="000000"/>
          <w:sz w:val="20"/>
          <w:szCs w:val="20"/>
        </w:rPr>
      </w:pPr>
    </w:p>
    <w:p w14:paraId="74C24662" w14:textId="77777777" w:rsidR="00373FD7" w:rsidRPr="004B6515" w:rsidRDefault="00373FD7" w:rsidP="00A5021B">
      <w:pPr>
        <w:numPr>
          <w:ilvl w:val="0"/>
          <w:numId w:val="11"/>
        </w:numPr>
        <w:spacing w:line="276" w:lineRule="auto"/>
        <w:jc w:val="both"/>
        <w:rPr>
          <w:rFonts w:cs="Arabic Transparent"/>
          <w:color w:val="000000"/>
          <w:sz w:val="20"/>
          <w:szCs w:val="20"/>
        </w:rPr>
      </w:pPr>
      <w:r>
        <w:rPr>
          <w:color w:val="000000"/>
          <w:sz w:val="20"/>
          <w:szCs w:val="20"/>
        </w:rPr>
        <w:t xml:space="preserve">دور مجلس </w:t>
      </w:r>
      <w:r>
        <w:rPr>
          <w:color w:val="000000"/>
          <w:sz w:val="20"/>
          <w:rtl w:val="0"/>
        </w:rPr>
        <w:t>GNSO</w:t>
      </w:r>
      <w:r>
        <w:rPr>
          <w:color w:val="000000"/>
          <w:sz w:val="20"/>
          <w:szCs w:val="20"/>
        </w:rPr>
        <w:t xml:space="preserve"> - يمثل هذا الأمر تحديًا دائمًا، حيث إن </w:t>
      </w:r>
      <w:r>
        <w:rPr>
          <w:color w:val="000000"/>
          <w:sz w:val="20"/>
          <w:rtl w:val="0"/>
        </w:rPr>
        <w:t>GNSO</w:t>
      </w:r>
      <w:r>
        <w:rPr>
          <w:color w:val="000000"/>
          <w:sz w:val="20"/>
          <w:szCs w:val="20"/>
        </w:rPr>
        <w:t xml:space="preserve"> عبارة عن اتحاد مجموعات ومصالح غالبًا ما تختلف مواقفهم.</w:t>
      </w:r>
    </w:p>
    <w:p w14:paraId="5C130E98" w14:textId="77777777" w:rsidR="00373FD7" w:rsidRPr="004B6515" w:rsidRDefault="00373FD7" w:rsidP="00373FD7">
      <w:pPr>
        <w:spacing w:line="276" w:lineRule="auto"/>
        <w:jc w:val="both"/>
        <w:rPr>
          <w:rFonts w:cs="Calibri"/>
          <w:color w:val="000000"/>
          <w:sz w:val="20"/>
          <w:szCs w:val="20"/>
        </w:rPr>
      </w:pPr>
    </w:p>
    <w:p w14:paraId="6223B3C2" w14:textId="77777777" w:rsidR="00373FD7" w:rsidRDefault="00373FD7" w:rsidP="00373FD7">
      <w:pPr>
        <w:pStyle w:val="Heading2"/>
      </w:pPr>
      <w:r>
        <w:t>التحسينات المحتملة</w:t>
      </w:r>
    </w:p>
    <w:p w14:paraId="0EB411D1" w14:textId="77777777" w:rsidR="00373FD7" w:rsidRDefault="00373FD7" w:rsidP="00373FD7">
      <w:pPr>
        <w:pStyle w:val="BodyText"/>
        <w:rPr>
          <w:szCs w:val="20"/>
        </w:rPr>
      </w:pPr>
      <w:r>
        <w:t>تقترح ورقة المناقشة أيضًا عددًا من "التحسينات المتزايدة الممكنة". وقد تم سرد هذه الأمور بالتفصيل في الورقة البحثية، ويمكن تلخيصه على النحو التالي:</w:t>
      </w:r>
    </w:p>
    <w:p w14:paraId="2D1C2777" w14:textId="77777777" w:rsidR="00373FD7" w:rsidRPr="008427F8" w:rsidRDefault="00373FD7" w:rsidP="00373FD7">
      <w:pPr>
        <w:pStyle w:val="BodyText"/>
        <w:rPr>
          <w:b/>
          <w:szCs w:val="20"/>
        </w:rPr>
      </w:pPr>
      <w:r>
        <w:rPr>
          <w:b/>
          <w:bCs/>
        </w:rPr>
        <w:t>هيكلة أفضل لمجموعات العمل</w:t>
      </w:r>
    </w:p>
    <w:p w14:paraId="2C22BDF9" w14:textId="77777777" w:rsidR="00373FD7" w:rsidRDefault="00373FD7" w:rsidP="00A5021B">
      <w:pPr>
        <w:pStyle w:val="BodyText"/>
        <w:numPr>
          <w:ilvl w:val="0"/>
          <w:numId w:val="12"/>
        </w:numPr>
        <w:ind w:left="357" w:hanging="357"/>
        <w:rPr>
          <w:szCs w:val="20"/>
        </w:rPr>
      </w:pPr>
      <w:r>
        <w:t>التزام رسمي من المشاركين في إطلاق بناء الإجماع وبيانات بما لديهم من معرفة وخبرات.</w:t>
      </w:r>
    </w:p>
    <w:p w14:paraId="4BDEC6B5" w14:textId="77777777" w:rsidR="00373FD7" w:rsidRPr="008427F8" w:rsidRDefault="00373FD7" w:rsidP="00A5021B">
      <w:pPr>
        <w:pStyle w:val="BodyText"/>
        <w:numPr>
          <w:ilvl w:val="0"/>
          <w:numId w:val="12"/>
        </w:numPr>
        <w:ind w:left="357" w:hanging="357"/>
        <w:rPr>
          <w:szCs w:val="20"/>
        </w:rPr>
      </w:pPr>
      <w:r>
        <w:t xml:space="preserve">بدائل النموذج "المفتوح للجميع". على سبيل المثال، تخصيص </w:t>
      </w:r>
      <w:r>
        <w:rPr>
          <w:color w:val="000000"/>
        </w:rPr>
        <w:t>أعضاء بمعرفة منظمات الدعم/اللجان الاستشارية + مشاركين أفراد + مراقبين أفراد (يشبه نموذج مجموعة عمل المجتمعات المتعددة الحالي).</w:t>
      </w:r>
    </w:p>
    <w:p w14:paraId="3C79F202" w14:textId="77777777" w:rsidR="00373FD7" w:rsidRPr="008427F8" w:rsidRDefault="00373FD7" w:rsidP="00373FD7">
      <w:pPr>
        <w:pStyle w:val="BodyText"/>
        <w:rPr>
          <w:b/>
          <w:szCs w:val="20"/>
        </w:rPr>
      </w:pPr>
      <w:r>
        <w:rPr>
          <w:b/>
          <w:bCs/>
        </w:rPr>
        <w:t>المحفزات على قيادة أفضل لمجموعة العمل</w:t>
      </w:r>
    </w:p>
    <w:p w14:paraId="2D4611EA" w14:textId="77777777" w:rsidR="00373FD7" w:rsidRPr="008427F8" w:rsidRDefault="00373FD7" w:rsidP="00A5021B">
      <w:pPr>
        <w:pStyle w:val="BodyText"/>
        <w:numPr>
          <w:ilvl w:val="0"/>
          <w:numId w:val="13"/>
        </w:numPr>
        <w:rPr>
          <w:szCs w:val="20"/>
        </w:rPr>
      </w:pPr>
      <w:r>
        <w:rPr>
          <w:color w:val="000000"/>
        </w:rPr>
        <w:t>الإرشادات التوجيهية لقادة مجموعة العمل بخصوص بناء الإجماع وتجنب الاستحواذ على الرأي.</w:t>
      </w:r>
    </w:p>
    <w:p w14:paraId="742A1A04" w14:textId="77777777" w:rsidR="00373FD7" w:rsidRPr="002446F5" w:rsidRDefault="00373FD7" w:rsidP="00A5021B">
      <w:pPr>
        <w:pStyle w:val="BodyText"/>
        <w:numPr>
          <w:ilvl w:val="0"/>
          <w:numId w:val="13"/>
        </w:numPr>
        <w:rPr>
          <w:szCs w:val="20"/>
        </w:rPr>
      </w:pPr>
      <w:r>
        <w:rPr>
          <w:color w:val="000000"/>
        </w:rPr>
        <w:t>وصف وظيفي أكثر تفصيلاً لقادة مجموعات العمل.</w:t>
      </w:r>
    </w:p>
    <w:p w14:paraId="0E350DC2" w14:textId="77777777" w:rsidR="00373FD7" w:rsidRPr="008427F8" w:rsidRDefault="00373FD7" w:rsidP="00A5021B">
      <w:pPr>
        <w:pStyle w:val="BodyText"/>
        <w:numPr>
          <w:ilvl w:val="0"/>
          <w:numId w:val="13"/>
        </w:numPr>
        <w:rPr>
          <w:szCs w:val="20"/>
        </w:rPr>
      </w:pPr>
      <w:r>
        <w:rPr>
          <w:color w:val="000000"/>
        </w:rPr>
        <w:t>المراجعة المنتظمة لأداء رؤساء مجموعة العمل.</w:t>
      </w:r>
    </w:p>
    <w:p w14:paraId="245D7A29" w14:textId="77777777" w:rsidR="00373FD7" w:rsidRPr="008427F8" w:rsidRDefault="00373FD7" w:rsidP="00373FD7">
      <w:pPr>
        <w:pStyle w:val="BodyText"/>
        <w:rPr>
          <w:b/>
          <w:color w:val="000000"/>
          <w:szCs w:val="20"/>
        </w:rPr>
      </w:pPr>
      <w:r>
        <w:rPr>
          <w:b/>
          <w:bCs/>
          <w:color w:val="000000"/>
        </w:rPr>
        <w:t>التعامل بشكل أفضل مع الموضوعات المعقدة</w:t>
      </w:r>
    </w:p>
    <w:p w14:paraId="31243097" w14:textId="77777777" w:rsidR="00373FD7" w:rsidRPr="008427F8" w:rsidRDefault="00373FD7" w:rsidP="00A5021B">
      <w:pPr>
        <w:pStyle w:val="BodyText"/>
        <w:numPr>
          <w:ilvl w:val="0"/>
          <w:numId w:val="14"/>
        </w:numPr>
        <w:rPr>
          <w:szCs w:val="20"/>
        </w:rPr>
      </w:pPr>
      <w:r>
        <w:rPr>
          <w:color w:val="000000"/>
        </w:rPr>
        <w:t>إنشاء "فرق تعاونية" من الأعضاء الأنشط داخل مجموعات العمل لمساعدة غيرهم ممن هم أقل قدرة على حضور جميع الاجتماعات.</w:t>
      </w:r>
    </w:p>
    <w:p w14:paraId="5468E573" w14:textId="77777777" w:rsidR="00373FD7" w:rsidRPr="008427F8" w:rsidRDefault="00373FD7" w:rsidP="00A5021B">
      <w:pPr>
        <w:pStyle w:val="BodyText"/>
        <w:numPr>
          <w:ilvl w:val="0"/>
          <w:numId w:val="14"/>
        </w:numPr>
        <w:rPr>
          <w:szCs w:val="20"/>
        </w:rPr>
      </w:pPr>
      <w:r>
        <w:rPr>
          <w:color w:val="000000"/>
        </w:rPr>
        <w:t>آلية للوافدين الجدد من أجل المراقبة والتعلم قبل المشاركة في عمليات نشطة لوضع السياسات.</w:t>
      </w:r>
    </w:p>
    <w:p w14:paraId="57374963" w14:textId="77777777" w:rsidR="00373FD7" w:rsidRPr="008427F8" w:rsidRDefault="00373FD7" w:rsidP="00373FD7">
      <w:pPr>
        <w:pStyle w:val="BodyText"/>
        <w:rPr>
          <w:b/>
          <w:color w:val="000000"/>
          <w:szCs w:val="20"/>
        </w:rPr>
      </w:pPr>
      <w:r>
        <w:rPr>
          <w:b/>
          <w:bCs/>
          <w:color w:val="000000"/>
        </w:rPr>
        <w:t>محفزات بناء الإجماع</w:t>
      </w:r>
    </w:p>
    <w:p w14:paraId="7F074848" w14:textId="77777777" w:rsidR="00373FD7" w:rsidRDefault="00373FD7" w:rsidP="00A5021B">
      <w:pPr>
        <w:pStyle w:val="BodyText"/>
        <w:numPr>
          <w:ilvl w:val="0"/>
          <w:numId w:val="15"/>
        </w:numPr>
        <w:rPr>
          <w:color w:val="000000"/>
          <w:szCs w:val="20"/>
        </w:rPr>
      </w:pPr>
      <w:r>
        <w:rPr>
          <w:color w:val="000000"/>
        </w:rPr>
        <w:t>مزيد من الإرشادات لمجموعات العمل حول عملية اتخاذ القرارات بالإجماع وحل النزاعات.</w:t>
      </w:r>
    </w:p>
    <w:p w14:paraId="556CF2E2" w14:textId="77777777" w:rsidR="00373FD7" w:rsidRPr="004B6515" w:rsidRDefault="00373FD7" w:rsidP="00A5021B">
      <w:pPr>
        <w:pStyle w:val="BodyText"/>
        <w:numPr>
          <w:ilvl w:val="0"/>
          <w:numId w:val="15"/>
        </w:numPr>
        <w:rPr>
          <w:color w:val="000000"/>
          <w:szCs w:val="20"/>
        </w:rPr>
      </w:pPr>
      <w:r>
        <w:rPr>
          <w:color w:val="000000"/>
        </w:rPr>
        <w:t>توزيع المواقف المختلفة للمشاركة في البداية من أجل الوصول إلى أرضية مشتركة.</w:t>
      </w:r>
    </w:p>
    <w:p w14:paraId="4FAEA456" w14:textId="77777777" w:rsidR="00373FD7" w:rsidRDefault="00373FD7" w:rsidP="00373FD7">
      <w:pPr>
        <w:pStyle w:val="Heading2"/>
      </w:pPr>
      <w:r>
        <w:t xml:space="preserve">تعقيبات </w:t>
      </w:r>
      <w:r>
        <w:rPr>
          <w:rtl w:val="0"/>
        </w:rPr>
        <w:t>GAC</w:t>
      </w:r>
      <w:r>
        <w:t xml:space="preserve"> المحتملة</w:t>
      </w:r>
    </w:p>
    <w:p w14:paraId="79E36815" w14:textId="77777777" w:rsidR="00373FD7" w:rsidRDefault="00373FD7" w:rsidP="00373FD7">
      <w:pPr>
        <w:widowControl w:val="0"/>
        <w:autoSpaceDE w:val="0"/>
        <w:autoSpaceDN w:val="0"/>
        <w:adjustRightInd w:val="0"/>
        <w:spacing w:after="200" w:line="276" w:lineRule="auto"/>
        <w:ind w:right="545"/>
        <w:jc w:val="both"/>
        <w:rPr>
          <w:rFonts w:eastAsia="Arabic Transparent" w:cs="Arabic Transparent"/>
          <w:sz w:val="20"/>
          <w:szCs w:val="20"/>
        </w:rPr>
      </w:pPr>
      <w:r>
        <w:rPr>
          <w:sz w:val="20"/>
          <w:szCs w:val="20"/>
        </w:rPr>
        <w:t xml:space="preserve">ليس واضحًا إلى الآن ما إن كانت منظمات دعم/لجان استشارية أخرى سيكون لها فرصة رسمية من أجل تقديم تعليقات على وثيقة </w:t>
      </w:r>
      <w:r>
        <w:rPr>
          <w:sz w:val="20"/>
          <w:rtl w:val="0"/>
        </w:rPr>
        <w:t>PDP 3.0</w:t>
      </w:r>
      <w:r>
        <w:rPr>
          <w:sz w:val="20"/>
          <w:szCs w:val="20"/>
        </w:rPr>
        <w:t xml:space="preserve"> أم لا. وعلى الرغم من ذلك، يمكن لـ </w:t>
      </w:r>
      <w:r>
        <w:rPr>
          <w:sz w:val="20"/>
          <w:rtl w:val="0"/>
        </w:rPr>
        <w:t>GAC</w:t>
      </w:r>
      <w:r>
        <w:rPr>
          <w:sz w:val="20"/>
          <w:szCs w:val="20"/>
        </w:rPr>
        <w:t xml:space="preserve"> استغلال فرصة اجتماعها مع مجلس </w:t>
      </w:r>
      <w:r>
        <w:rPr>
          <w:sz w:val="20"/>
          <w:rtl w:val="0"/>
        </w:rPr>
        <w:t>GNSO</w:t>
      </w:r>
      <w:r>
        <w:rPr>
          <w:sz w:val="20"/>
          <w:szCs w:val="20"/>
        </w:rPr>
        <w:t xml:space="preserve"> في اجتماع </w:t>
      </w:r>
      <w:r>
        <w:rPr>
          <w:sz w:val="20"/>
          <w:rtl w:val="0"/>
        </w:rPr>
        <w:t>ICANN 62</w:t>
      </w:r>
      <w:r>
        <w:rPr>
          <w:sz w:val="20"/>
          <w:szCs w:val="20"/>
        </w:rPr>
        <w:t xml:space="preserve"> من أجل مواصلة نقاط النقاش المقترحة التالية:</w:t>
      </w:r>
    </w:p>
    <w:p w14:paraId="241CDC9A" w14:textId="77777777" w:rsidR="00373FD7" w:rsidRDefault="00373FD7" w:rsidP="00A5021B">
      <w:pPr>
        <w:pStyle w:val="ListParagraph"/>
        <w:widowControl w:val="0"/>
        <w:numPr>
          <w:ilvl w:val="0"/>
          <w:numId w:val="8"/>
        </w:numPr>
        <w:autoSpaceDE w:val="0"/>
        <w:autoSpaceDN w:val="0"/>
        <w:adjustRightInd w:val="0"/>
        <w:ind w:right="545"/>
        <w:rPr>
          <w:rFonts w:cs="Arabic Transparent"/>
          <w:szCs w:val="20"/>
        </w:rPr>
      </w:pPr>
      <w:r>
        <w:t xml:space="preserve">ينظر أعضاء </w:t>
      </w:r>
      <w:r>
        <w:rPr>
          <w:rtl w:val="0"/>
        </w:rPr>
        <w:t>GAC</w:t>
      </w:r>
      <w:r>
        <w:t xml:space="preserve"> إلى الوثيقة بأنها مفيدة وجاءت في الوقت المناسب أيضًا.</w:t>
      </w:r>
    </w:p>
    <w:p w14:paraId="0247B3E0" w14:textId="77777777" w:rsidR="00373FD7" w:rsidRDefault="00373FD7" w:rsidP="00A5021B">
      <w:pPr>
        <w:pStyle w:val="ListParagraph"/>
        <w:widowControl w:val="0"/>
        <w:numPr>
          <w:ilvl w:val="0"/>
          <w:numId w:val="8"/>
        </w:numPr>
        <w:autoSpaceDE w:val="0"/>
        <w:autoSpaceDN w:val="0"/>
        <w:adjustRightInd w:val="0"/>
        <w:ind w:right="545"/>
        <w:rPr>
          <w:rFonts w:cs="Arabic Transparent"/>
          <w:szCs w:val="20"/>
        </w:rPr>
      </w:pPr>
      <w:r>
        <w:t xml:space="preserve">بالنظر إلى التداخلات فيما بين أعمال </w:t>
      </w:r>
      <w:r>
        <w:rPr>
          <w:rtl w:val="0"/>
        </w:rPr>
        <w:t>ICANN</w:t>
      </w:r>
      <w:r>
        <w:t xml:space="preserve">، فسوف يكون ذلك مفيدًا في مناقشة المشكلات المطروحة في البحث لتجاوز مجرد عضو منظمة </w:t>
      </w:r>
      <w:r>
        <w:rPr>
          <w:rtl w:val="0"/>
        </w:rPr>
        <w:t>GNSO</w:t>
      </w:r>
      <w:r>
        <w:t>.</w:t>
      </w:r>
    </w:p>
    <w:p w14:paraId="13CC4722" w14:textId="77777777" w:rsidR="00373FD7" w:rsidRDefault="00373FD7" w:rsidP="00A5021B">
      <w:pPr>
        <w:pStyle w:val="ListParagraph"/>
        <w:widowControl w:val="0"/>
        <w:numPr>
          <w:ilvl w:val="0"/>
          <w:numId w:val="8"/>
        </w:numPr>
        <w:autoSpaceDE w:val="0"/>
        <w:autoSpaceDN w:val="0"/>
        <w:adjustRightInd w:val="0"/>
        <w:ind w:right="545"/>
        <w:rPr>
          <w:rFonts w:cs="Arabic Transparent"/>
          <w:szCs w:val="20"/>
        </w:rPr>
      </w:pPr>
      <w:r>
        <w:t xml:space="preserve">لا تزال </w:t>
      </w:r>
      <w:r>
        <w:rPr>
          <w:rtl w:val="0"/>
        </w:rPr>
        <w:t>GAC</w:t>
      </w:r>
      <w:r>
        <w:t xml:space="preserve"> ملتزمة بالمشاركة في عمليات وضع السياسات إلى حد التعامل مع مشكلات السياسة العامة.</w:t>
      </w:r>
    </w:p>
    <w:p w14:paraId="1ED1A405" w14:textId="77777777" w:rsidR="00373FD7" w:rsidRDefault="00373FD7" w:rsidP="00A5021B">
      <w:pPr>
        <w:pStyle w:val="ListParagraph"/>
        <w:widowControl w:val="0"/>
        <w:numPr>
          <w:ilvl w:val="0"/>
          <w:numId w:val="8"/>
        </w:numPr>
        <w:autoSpaceDE w:val="0"/>
        <w:autoSpaceDN w:val="0"/>
        <w:adjustRightInd w:val="0"/>
        <w:ind w:right="545"/>
        <w:rPr>
          <w:rFonts w:cs="Arabic Transparent"/>
          <w:szCs w:val="20"/>
        </w:rPr>
      </w:pPr>
      <w:r>
        <w:t>عملية سياسة تتقرر عمليًا من خلال أي شخص يتطوع و/أو يشارك في الاجتماعات الهاتفية/الاجتماعات، دائمًا ما تكون مقلقة في الحصول على الخبرات ذات الصلة، وتركز على حل المشكلات ومجرد إدارة للمشروعات، لا سيما مع زيادة مستوى تعقيد الموضوع محل البحث.</w:t>
      </w:r>
    </w:p>
    <w:p w14:paraId="6B8E14ED" w14:textId="77777777" w:rsidR="00373FD7" w:rsidRDefault="00373FD7" w:rsidP="00A5021B">
      <w:pPr>
        <w:pStyle w:val="ListParagraph"/>
        <w:widowControl w:val="0"/>
        <w:numPr>
          <w:ilvl w:val="0"/>
          <w:numId w:val="8"/>
        </w:numPr>
        <w:autoSpaceDE w:val="0"/>
        <w:autoSpaceDN w:val="0"/>
        <w:adjustRightInd w:val="0"/>
        <w:ind w:right="545"/>
        <w:rPr>
          <w:rFonts w:cs="Arabic Transparent"/>
          <w:szCs w:val="20"/>
        </w:rPr>
      </w:pPr>
      <w:r>
        <w:t xml:space="preserve">إن تنظيم مجموعات عمل </w:t>
      </w:r>
      <w:r>
        <w:rPr>
          <w:rtl w:val="0"/>
        </w:rPr>
        <w:t>PDP</w:t>
      </w:r>
      <w:r>
        <w:t xml:space="preserve"> المعنية بنموذج مجموعات عمل المجتمعات المتعددة، بأعضاء محددين من منظمات الدعم واللجان الاستشارية المعنية وغيرهم من المشاركين كأفراد، كفيل بالتشجيع على ما يلي: (أ) تحسين المساءلة والكفاءة والشفافية؛ و(ب) منظور أصيل على نطاق المجتمعات داخل عمليات وضع السياسات؛ و(ج) مشاركة أفضل وأكثر استنارة من </w:t>
      </w:r>
      <w:r>
        <w:rPr>
          <w:rtl w:val="0"/>
        </w:rPr>
        <w:t>GAC</w:t>
      </w:r>
      <w:r>
        <w:t xml:space="preserve"> في عمليات وضع السياسات.</w:t>
      </w:r>
    </w:p>
    <w:p w14:paraId="44C5C261" w14:textId="77777777" w:rsidR="00373FD7" w:rsidRPr="00DD6D45" w:rsidRDefault="00373FD7" w:rsidP="00A5021B">
      <w:pPr>
        <w:pStyle w:val="ListParagraph"/>
        <w:widowControl w:val="0"/>
        <w:numPr>
          <w:ilvl w:val="0"/>
          <w:numId w:val="8"/>
        </w:numPr>
        <w:autoSpaceDE w:val="0"/>
        <w:autoSpaceDN w:val="0"/>
        <w:adjustRightInd w:val="0"/>
        <w:ind w:right="545"/>
        <w:rPr>
          <w:rFonts w:cs="Arabic Transparent"/>
          <w:szCs w:val="20"/>
        </w:rPr>
      </w:pPr>
      <w:r>
        <w:t xml:space="preserve">علمًا بأن التدابير المقترحة في الوثيقة من أجل تدريب أفضل وموارد من أجل قادة مجموعة العمل والمشاركين فيها مفيدة ومعقولة ويمكن أن تجمع تأييدًا جيدًا للغاية مقدم بالفعل من جانب فريق عمل </w:t>
      </w:r>
      <w:r>
        <w:rPr>
          <w:rtl w:val="0"/>
        </w:rPr>
        <w:t>GNSO</w:t>
      </w:r>
      <w:r>
        <w:t>.</w:t>
      </w:r>
    </w:p>
    <w:p w14:paraId="71BEEDDC" w14:textId="77777777" w:rsidR="00373FD7" w:rsidRDefault="00373FD7" w:rsidP="00373FD7">
      <w:pPr>
        <w:widowControl w:val="0"/>
        <w:autoSpaceDE w:val="0"/>
        <w:autoSpaceDN w:val="0"/>
        <w:adjustRightInd w:val="0"/>
        <w:spacing w:after="200" w:line="276" w:lineRule="auto"/>
        <w:ind w:right="545"/>
        <w:jc w:val="both"/>
        <w:rPr>
          <w:rFonts w:eastAsia="Calibri"/>
          <w:sz w:val="20"/>
          <w:szCs w:val="22"/>
        </w:rPr>
      </w:pPr>
    </w:p>
    <w:p w14:paraId="44B7FCF8" w14:textId="77777777" w:rsidR="00373FD7" w:rsidRDefault="00373FD7" w:rsidP="00373FD7">
      <w:pPr>
        <w:pStyle w:val="Heading2"/>
      </w:pPr>
      <w:r>
        <w:t>إدارة الوثائق</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373FD7" w:rsidRPr="003F43E3" w14:paraId="7DE31E75" w14:textId="77777777" w:rsidTr="00F755F2">
        <w:tc>
          <w:tcPr>
            <w:tcW w:w="3261" w:type="dxa"/>
            <w:vAlign w:val="center"/>
          </w:tcPr>
          <w:p w14:paraId="61708D3C" w14:textId="77777777" w:rsidR="00373FD7" w:rsidRPr="003F43E3" w:rsidRDefault="00373FD7" w:rsidP="00F755F2">
            <w:pPr>
              <w:ind w:right="-132"/>
              <w:rPr>
                <w:b/>
                <w:sz w:val="20"/>
                <w:szCs w:val="20"/>
              </w:rPr>
            </w:pPr>
            <w:r>
              <w:rPr>
                <w:b/>
                <w:bCs/>
                <w:sz w:val="20"/>
                <w:szCs w:val="20"/>
              </w:rPr>
              <w:t>العنوان</w:t>
            </w:r>
          </w:p>
        </w:tc>
        <w:tc>
          <w:tcPr>
            <w:tcW w:w="5811" w:type="dxa"/>
            <w:vAlign w:val="center"/>
          </w:tcPr>
          <w:p w14:paraId="35E71A27" w14:textId="77777777" w:rsidR="00373FD7" w:rsidRPr="00EA3A02" w:rsidRDefault="00373FD7" w:rsidP="00F755F2">
            <w:pPr>
              <w:ind w:right="545"/>
              <w:rPr>
                <w:sz w:val="20"/>
                <w:szCs w:val="20"/>
              </w:rPr>
            </w:pPr>
            <w:r>
              <w:rPr>
                <w:sz w:val="20"/>
                <w:szCs w:val="20"/>
              </w:rPr>
              <w:t xml:space="preserve">وثيقة </w:t>
            </w:r>
            <w:r>
              <w:rPr>
                <w:sz w:val="20"/>
                <w:rtl w:val="0"/>
              </w:rPr>
              <w:t>PDP 3.0</w:t>
            </w:r>
            <w:r>
              <w:rPr>
                <w:sz w:val="20"/>
                <w:szCs w:val="20"/>
              </w:rPr>
              <w:t xml:space="preserve"> من </w:t>
            </w:r>
            <w:r>
              <w:rPr>
                <w:sz w:val="20"/>
                <w:rtl w:val="0"/>
              </w:rPr>
              <w:t>GNSO</w:t>
            </w:r>
          </w:p>
        </w:tc>
      </w:tr>
      <w:tr w:rsidR="00373FD7" w:rsidRPr="003F43E3" w14:paraId="115550A3" w14:textId="77777777" w:rsidTr="00F755F2">
        <w:tc>
          <w:tcPr>
            <w:tcW w:w="3261" w:type="dxa"/>
            <w:vAlign w:val="center"/>
          </w:tcPr>
          <w:p w14:paraId="0D147BF9" w14:textId="77777777" w:rsidR="00373FD7" w:rsidRPr="003F43E3" w:rsidRDefault="00373FD7" w:rsidP="00F755F2">
            <w:pPr>
              <w:ind w:right="-132"/>
              <w:rPr>
                <w:b/>
                <w:sz w:val="20"/>
                <w:szCs w:val="20"/>
              </w:rPr>
            </w:pPr>
            <w:r>
              <w:rPr>
                <w:b/>
                <w:bCs/>
                <w:sz w:val="20"/>
                <w:szCs w:val="20"/>
              </w:rPr>
              <w:t>التوزيع</w:t>
            </w:r>
          </w:p>
        </w:tc>
        <w:tc>
          <w:tcPr>
            <w:tcW w:w="5811" w:type="dxa"/>
            <w:vAlign w:val="center"/>
          </w:tcPr>
          <w:p w14:paraId="65E4B088" w14:textId="77777777" w:rsidR="00373FD7" w:rsidRPr="003F43E3" w:rsidRDefault="00373FD7" w:rsidP="00F755F2">
            <w:pPr>
              <w:ind w:right="545"/>
              <w:rPr>
                <w:sz w:val="20"/>
                <w:szCs w:val="20"/>
              </w:rPr>
            </w:pPr>
            <w:r>
              <w:rPr>
                <w:sz w:val="20"/>
                <w:szCs w:val="20"/>
              </w:rPr>
              <w:t xml:space="preserve">أعضاء </w:t>
            </w:r>
            <w:r>
              <w:rPr>
                <w:sz w:val="20"/>
                <w:rtl w:val="0"/>
              </w:rPr>
              <w:t>GAC</w:t>
            </w:r>
          </w:p>
        </w:tc>
      </w:tr>
      <w:tr w:rsidR="00373FD7" w:rsidRPr="003F43E3" w14:paraId="3D4DA103" w14:textId="77777777" w:rsidTr="00F755F2">
        <w:tc>
          <w:tcPr>
            <w:tcW w:w="3261" w:type="dxa"/>
            <w:vAlign w:val="center"/>
          </w:tcPr>
          <w:p w14:paraId="11034107" w14:textId="77777777" w:rsidR="00373FD7" w:rsidRPr="003F43E3" w:rsidRDefault="00373FD7" w:rsidP="00F755F2">
            <w:pPr>
              <w:ind w:right="-132"/>
              <w:rPr>
                <w:b/>
                <w:sz w:val="20"/>
                <w:szCs w:val="20"/>
              </w:rPr>
            </w:pPr>
            <w:r>
              <w:rPr>
                <w:b/>
                <w:bCs/>
                <w:sz w:val="20"/>
                <w:szCs w:val="20"/>
              </w:rPr>
              <w:t>تاريخ التوزيع</w:t>
            </w:r>
          </w:p>
        </w:tc>
        <w:tc>
          <w:tcPr>
            <w:tcW w:w="5811" w:type="dxa"/>
            <w:vAlign w:val="center"/>
          </w:tcPr>
          <w:p w14:paraId="44E26BC8" w14:textId="77777777" w:rsidR="00373FD7" w:rsidRPr="003F43E3" w:rsidRDefault="00373FD7" w:rsidP="00F755F2">
            <w:pPr>
              <w:ind w:right="545"/>
              <w:rPr>
                <w:sz w:val="20"/>
                <w:szCs w:val="20"/>
              </w:rPr>
            </w:pPr>
            <w:r>
              <w:rPr>
                <w:sz w:val="20"/>
                <w:szCs w:val="20"/>
              </w:rPr>
              <w:t>25 أيار (مايو) 2018</w:t>
            </w:r>
          </w:p>
        </w:tc>
      </w:tr>
    </w:tbl>
    <w:p w14:paraId="20E7F43E" w14:textId="315CC61B" w:rsidR="002D63C1" w:rsidRPr="002D63C1" w:rsidRDefault="002D63C1" w:rsidP="002D63C1">
      <w:pPr>
        <w:pStyle w:val="BodyText"/>
      </w:pPr>
    </w:p>
    <w:sectPr w:rsidR="002D63C1" w:rsidRPr="002D63C1" w:rsidSect="007A174E">
      <w:headerReference w:type="default"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CFBFB" w14:textId="77777777" w:rsidR="00E120D2" w:rsidRDefault="00E120D2" w:rsidP="00A24449">
      <w:r>
        <w:separator/>
      </w:r>
    </w:p>
  </w:endnote>
  <w:endnote w:type="continuationSeparator" w:id="0">
    <w:p w14:paraId="1EF82A11" w14:textId="77777777" w:rsidR="00E120D2" w:rsidRDefault="00E120D2"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BCDB" w14:textId="77777777" w:rsidR="005E2480" w:rsidRDefault="005E2480" w:rsidP="002276FD">
    <w:pPr>
      <w:pStyle w:val="Footer"/>
      <w:ind w:left="-567" w:right="261"/>
    </w:pPr>
  </w:p>
  <w:p w14:paraId="230FF035" w14:textId="169A19D2" w:rsidR="005E2480" w:rsidRPr="00B026C8" w:rsidRDefault="005E2480" w:rsidP="00F85F5F">
    <w:pPr>
      <w:pBdr>
        <w:top w:val="single" w:sz="18" w:space="1" w:color="1F497D"/>
      </w:pBdr>
      <w:spacing w:before="240"/>
      <w:ind w:right="545"/>
      <w:rPr>
        <w:color w:val="00408E"/>
      </w:rPr>
    </w:pPr>
    <w:r>
      <w:tab/>
    </w:r>
    <w:r>
      <w:rPr>
        <w:color w:val="00408E"/>
        <w:sz w:val="16"/>
        <w:szCs w:val="16"/>
      </w:rPr>
      <w:t xml:space="preserve">                                                                                                                              </w:t>
    </w:r>
    <w:r>
      <w:tab/>
    </w:r>
    <w:r>
      <w:tab/>
    </w:r>
    <w:r>
      <w:tab/>
    </w:r>
    <w:r>
      <w:rPr>
        <w:color w:val="00408E"/>
        <w:sz w:val="16"/>
        <w:szCs w:val="16"/>
      </w:rPr>
      <w:t xml:space="preserve">صفحة </w:t>
    </w:r>
    <w:r w:rsidRPr="00B026C8">
      <w:rPr>
        <w:color w:val="00408E"/>
        <w:sz w:val="16"/>
        <w:szCs w:val="16"/>
      </w:rPr>
      <w:fldChar w:fldCharType="begin"/>
    </w:r>
    <w:r w:rsidRPr="00B026C8">
      <w:rPr>
        <w:color w:val="00408E"/>
        <w:sz w:val="16"/>
        <w:szCs w:val="16"/>
      </w:rPr>
      <w:instrText xml:space="preserve"> PAGE </w:instrText>
    </w:r>
    <w:r w:rsidRPr="00B026C8">
      <w:rPr>
        <w:color w:val="00408E"/>
        <w:sz w:val="16"/>
        <w:szCs w:val="16"/>
      </w:rPr>
      <w:fldChar w:fldCharType="separate"/>
    </w:r>
    <w:r w:rsidR="006D6401">
      <w:rPr>
        <w:noProof/>
        <w:color w:val="00408E"/>
        <w:sz w:val="16"/>
        <w:szCs w:val="16"/>
      </w:rPr>
      <w:t>1</w:t>
    </w:r>
    <w:r w:rsidRPr="00B026C8">
      <w:rPr>
        <w:color w:val="00408E"/>
        <w:sz w:val="16"/>
        <w:szCs w:val="16"/>
      </w:rPr>
      <w:fldChar w:fldCharType="end"/>
    </w:r>
    <w:r>
      <w:rPr>
        <w:color w:val="00408E"/>
        <w:sz w:val="16"/>
        <w:szCs w:val="16"/>
      </w:rPr>
      <w:t xml:space="preserve"> من </w:t>
    </w:r>
    <w:r w:rsidRPr="00B026C8">
      <w:rPr>
        <w:color w:val="00408E"/>
        <w:sz w:val="16"/>
        <w:szCs w:val="16"/>
      </w:rPr>
      <w:fldChar w:fldCharType="begin"/>
    </w:r>
    <w:r w:rsidRPr="00B026C8">
      <w:rPr>
        <w:color w:val="00408E"/>
        <w:sz w:val="16"/>
        <w:szCs w:val="16"/>
      </w:rPr>
      <w:instrText xml:space="preserve"> NUMPAGES  </w:instrText>
    </w:r>
    <w:r w:rsidRPr="00B026C8">
      <w:rPr>
        <w:color w:val="00408E"/>
        <w:sz w:val="16"/>
        <w:szCs w:val="16"/>
      </w:rPr>
      <w:fldChar w:fldCharType="separate"/>
    </w:r>
    <w:r w:rsidR="006D6401">
      <w:rPr>
        <w:noProof/>
        <w:color w:val="00408E"/>
        <w:sz w:val="16"/>
        <w:szCs w:val="16"/>
      </w:rPr>
      <w:t>4</w:t>
    </w:r>
    <w:r w:rsidRPr="00B026C8">
      <w:rPr>
        <w:color w:val="00408E"/>
        <w:sz w:val="16"/>
        <w:szCs w:val="16"/>
      </w:rPr>
      <w:fldChar w:fldCharType="end"/>
    </w:r>
  </w:p>
  <w:p w14:paraId="357EE225" w14:textId="77777777" w:rsidR="005E2480" w:rsidRPr="000C0FD7" w:rsidRDefault="005E2480" w:rsidP="003D7A8D">
    <w:pPr>
      <w:pStyle w:val="Footer"/>
      <w:tabs>
        <w:tab w:val="clear" w:pos="9360"/>
        <w:tab w:val="right" w:pos="8931"/>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DCF7D" w14:textId="77777777" w:rsidR="005E2480" w:rsidRPr="00C2562C" w:rsidRDefault="005E2480" w:rsidP="00740F60">
    <w:pPr>
      <w:pBdr>
        <w:top w:val="single" w:sz="18" w:space="1" w:color="1F497D"/>
      </w:pBdr>
      <w:spacing w:before="240"/>
      <w:ind w:right="544"/>
      <w:rPr>
        <w:color w:val="00408E"/>
        <w:sz w:val="2"/>
        <w:szCs w:val="2"/>
      </w:rPr>
    </w:pPr>
  </w:p>
  <w:p w14:paraId="399DE240" w14:textId="77777777" w:rsidR="005E2480" w:rsidRPr="00B026C8" w:rsidRDefault="005E2480" w:rsidP="00740F60">
    <w:pPr>
      <w:pStyle w:val="NoSpacing"/>
      <w:ind w:right="544"/>
      <w:jc w:val="right"/>
      <w:rPr>
        <w:sz w:val="16"/>
        <w:szCs w:val="16"/>
      </w:rPr>
    </w:pPr>
    <w:r>
      <w:rPr>
        <w:sz w:val="16"/>
        <w:szCs w:val="16"/>
      </w:rPr>
      <w:t xml:space="preserve">203 دروموند ستريت، كارلتون، فيكتوريا 3053 </w:t>
    </w:r>
  </w:p>
  <w:p w14:paraId="78FD8431" w14:textId="77777777" w:rsidR="005E2480" w:rsidRPr="00B026C8" w:rsidRDefault="005E2480" w:rsidP="00740F60">
    <w:pPr>
      <w:pStyle w:val="NoSpacing"/>
      <w:ind w:right="544"/>
      <w:jc w:val="right"/>
      <w:rPr>
        <w:sz w:val="16"/>
        <w:szCs w:val="16"/>
      </w:rPr>
    </w:pPr>
    <w:r>
      <w:rPr>
        <w:sz w:val="16"/>
        <w:szCs w:val="16"/>
      </w:rPr>
      <w:t>7222 9650 03</w:t>
    </w:r>
  </w:p>
  <w:p w14:paraId="30C54EED" w14:textId="77777777" w:rsidR="005E2480" w:rsidRPr="00B026C8" w:rsidRDefault="005E2480" w:rsidP="00740F60">
    <w:pPr>
      <w:pStyle w:val="NoSpacing"/>
      <w:ind w:right="544"/>
      <w:jc w:val="right"/>
      <w:rPr>
        <w:sz w:val="16"/>
        <w:szCs w:val="16"/>
      </w:rPr>
    </w:pPr>
    <w:r>
      <w:rPr>
        <w:sz w:val="16"/>
        <w:rtl w:val="0"/>
      </w:rPr>
      <w:t>www.acig.com.au</w:t>
    </w:r>
  </w:p>
  <w:p w14:paraId="1C71AF25" w14:textId="77777777" w:rsidR="005E2480" w:rsidRDefault="005E2480" w:rsidP="003D7A8D">
    <w:pPr>
      <w:pStyle w:val="Footer"/>
      <w:jc w:val="center"/>
      <w:rPr>
        <w:color w:val="00408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4D537" w14:textId="77777777" w:rsidR="00E120D2" w:rsidRDefault="00E120D2" w:rsidP="00A24449">
      <w:r>
        <w:separator/>
      </w:r>
    </w:p>
  </w:footnote>
  <w:footnote w:type="continuationSeparator" w:id="0">
    <w:p w14:paraId="56CB5507" w14:textId="77777777" w:rsidR="00E120D2" w:rsidRDefault="00E120D2" w:rsidP="00A2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ABE2" w14:textId="77777777" w:rsidR="005E2480" w:rsidRDefault="005E2480" w:rsidP="002276FD">
    <w:pPr>
      <w:pStyle w:val="Header"/>
      <w:tabs>
        <w:tab w:val="clear" w:pos="4680"/>
        <w:tab w:val="clear" w:pos="9360"/>
      </w:tabs>
      <w:ind w:left="7920" w:right="-306" w:firstLine="444"/>
    </w:pPr>
    <w:r>
      <w:rPr>
        <w:noProof/>
        <w:lang w:eastAsia="zh-CN" w:bidi="ar-SA"/>
      </w:rPr>
      <w:drawing>
        <wp:inline distT="0" distB="0" distL="0" distR="0" wp14:anchorId="74B5324F" wp14:editId="6657EE05">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eastAsia="zh-CN" w:bidi="ar-SA"/>
      </w:rPr>
      <mc:AlternateContent>
        <mc:Choice Requires="wps">
          <w:drawing>
            <wp:anchor distT="0" distB="0" distL="114300" distR="114300" simplePos="0" relativeHeight="251657728" behindDoc="1" locked="0" layoutInCell="1" allowOverlap="1" wp14:anchorId="56531041" wp14:editId="4BA370AB">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mv="urn:schemas-microsoft-com:mac:vml" xmlns:mo="http://schemas.microsoft.com/office/mac/office/2008/main" xmlns:w10="urn:schemas-microsoft-com:office:word" xmlns:v="urn:schemas-microsoft-com:vml" xmlns:o="urn:schemas-microsoft-com:office:office" xmlns:w="http://schemas.openxmlformats.org/wordprocessingml/2006/main" xmlns="" w="9525">
                            <a:solidFill>
                              <a:srgbClr val="000000"/>
                            </a:solidFill>
                            <a:miter lim="800000"/>
                            <a:headEnd/>
                            <a:tailEnd/>
                          </a14:hiddenLine>
                        </a:ext>
                      </a:extLst>
                    </wps:spPr>
                    <wps:txbx>
                      <w:txbxContent>
                        <w:p w14:paraId="437769CE" w14:textId="77777777" w:rsidR="005E2480" w:rsidRPr="00A12C22" w:rsidRDefault="005E2480" w:rsidP="00CD30A8">
                          <w:pPr>
                            <w:ind w:left="-142"/>
                            <w:rPr>
                              <w:color w:val="C00000"/>
                              <w:sz w:val="32"/>
                              <w:szCs w:val="32"/>
                            </w:rPr>
                          </w:pPr>
                          <w:r>
                            <w:rPr>
                              <w:color w:val="C00000"/>
                              <w:sz w:val="32"/>
                              <w:szCs w:val="32"/>
                            </w:rPr>
                            <w:t>أمانة سر اللجنة الاستشارية الحكومية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56531041" id="_x0000_t202" coordsize="21600,21600" o:spt="202" path="m,l,21600r21600,l21600,xe">
              <v:stroke joinstyle="miter"/>
              <v:path gradientshapeok="t" o:connecttype="rect"/>
            </v:shapetype>
            <v:sha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v="urn:schemas-microsoft-com:vml"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" stroked="f">
              <v:textbox>
                <w:txbxContent>
                  <w:p xmlns:w14="http://schemas.microsoft.com/office/word/2010/wordml" w14:paraId="437769CE" w14:textId="77777777" w:rsidR="005E2480" w:rsidRPr="00A12C22" w:rsidRDefault="005E2480" w:rsidP="00CD30A8">
                    <w:pPr>
                      <w:bidi/>
                      <w:ind w:left="-142"/>
                      <w:rPr>
                        <w:rFonts w:ascii="Arabic Transparent" w:hAnsi="Arabic Transparent"/>
                        <w:color w:val="C00000"/>
                        <w:sz w:val="32"/>
                        <w:szCs w:val="32"/>
                      </w:rPr>
                    </w:pPr>
                    <w:r>
                      <w:rPr>
                        <w:rFonts w:ascii="Arabic Transparent" w:hAnsi="Arabic Transparent"/>
                        <w:color w:val="C00000"/>
                        <w:sz w:val="32"/>
                        <w:szCs w:val="32"/>
                        <w:szCs w:val="32"/>
                        <w:rtl/>
                      </w:rPr>
                      <w:t>أمانة سر اللجنة الاستشارية الحكومية</w:t>
                    </w:r>
                  </w:p>
                </w:txbxContent>
              </v:textbox>
            </v:shap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AD20" w14:textId="77777777" w:rsidR="005E2480" w:rsidRDefault="005E2480" w:rsidP="00C2562C">
    <w:pPr>
      <w:pStyle w:val="Header"/>
      <w:tabs>
        <w:tab w:val="clear" w:pos="9360"/>
      </w:tabs>
      <w:ind w:left="-851"/>
      <w:jc w:val="center"/>
    </w:pPr>
    <w:r>
      <w:rPr>
        <w:noProof/>
        <w:lang w:eastAsia="zh-CN" w:bidi="ar-SA"/>
      </w:rPr>
      <w:drawing>
        <wp:inline distT="0" distB="0" distL="0" distR="0" wp14:anchorId="58262EE7" wp14:editId="4BE24B81">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6580FA1"/>
    <w:multiLevelType w:val="multilevel"/>
    <w:tmpl w:val="6E7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83D08"/>
    <w:multiLevelType w:val="hybridMultilevel"/>
    <w:tmpl w:val="45D0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37B83"/>
    <w:multiLevelType w:val="hybridMultilevel"/>
    <w:tmpl w:val="3A704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C782F"/>
    <w:multiLevelType w:val="hybridMultilevel"/>
    <w:tmpl w:val="F5D44E6A"/>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5E13E7"/>
    <w:multiLevelType w:val="hybridMultilevel"/>
    <w:tmpl w:val="4D96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265CDC"/>
    <w:multiLevelType w:val="hybridMultilevel"/>
    <w:tmpl w:val="6EBA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22775"/>
    <w:multiLevelType w:val="hybridMultilevel"/>
    <w:tmpl w:val="C03C4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7E1DCB"/>
    <w:multiLevelType w:val="hybridMultilevel"/>
    <w:tmpl w:val="3B00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7635FF"/>
    <w:multiLevelType w:val="hybridMultilevel"/>
    <w:tmpl w:val="6456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7A6D33"/>
    <w:multiLevelType w:val="hybridMultilevel"/>
    <w:tmpl w:val="2296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4" w15:restartNumberingAfterBreak="0">
    <w:nsid w:val="79546BFA"/>
    <w:multiLevelType w:val="hybridMultilevel"/>
    <w:tmpl w:val="490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50E51"/>
    <w:multiLevelType w:val="hybridMultilevel"/>
    <w:tmpl w:val="B5F873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3"/>
  </w:num>
  <w:num w:numId="5">
    <w:abstractNumId w:val="9"/>
  </w:num>
  <w:num w:numId="6">
    <w:abstractNumId w:val="15"/>
  </w:num>
  <w:num w:numId="7">
    <w:abstractNumId w:val="11"/>
  </w:num>
  <w:num w:numId="8">
    <w:abstractNumId w:val="14"/>
  </w:num>
  <w:num w:numId="9">
    <w:abstractNumId w:val="6"/>
  </w:num>
  <w:num w:numId="10">
    <w:abstractNumId w:val="8"/>
  </w:num>
  <w:num w:numId="11">
    <w:abstractNumId w:val="3"/>
  </w:num>
  <w:num w:numId="12">
    <w:abstractNumId w:val="10"/>
  </w:num>
  <w:num w:numId="13">
    <w:abstractNumId w:val="12"/>
  </w:num>
  <w:num w:numId="14">
    <w:abstractNumId w:val="7"/>
  </w:num>
  <w:num w:numId="15">
    <w:abstractNumId w:val="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B6"/>
    <w:rsid w:val="0001582D"/>
    <w:rsid w:val="00017DDB"/>
    <w:rsid w:val="00020EA8"/>
    <w:rsid w:val="00023512"/>
    <w:rsid w:val="0002714F"/>
    <w:rsid w:val="000328A2"/>
    <w:rsid w:val="00076811"/>
    <w:rsid w:val="00083BC8"/>
    <w:rsid w:val="000964B7"/>
    <w:rsid w:val="000B4BF2"/>
    <w:rsid w:val="000C0FD7"/>
    <w:rsid w:val="000C5167"/>
    <w:rsid w:val="000C6B2E"/>
    <w:rsid w:val="00124BEE"/>
    <w:rsid w:val="00127856"/>
    <w:rsid w:val="001577F4"/>
    <w:rsid w:val="0016195D"/>
    <w:rsid w:val="00181EFF"/>
    <w:rsid w:val="001A63D6"/>
    <w:rsid w:val="001A7608"/>
    <w:rsid w:val="001B2ADD"/>
    <w:rsid w:val="001B337F"/>
    <w:rsid w:val="001C3B09"/>
    <w:rsid w:val="001D20DB"/>
    <w:rsid w:val="002110FA"/>
    <w:rsid w:val="00212B75"/>
    <w:rsid w:val="00215C62"/>
    <w:rsid w:val="002276FD"/>
    <w:rsid w:val="00250279"/>
    <w:rsid w:val="00273354"/>
    <w:rsid w:val="002A35B2"/>
    <w:rsid w:val="002C0BDE"/>
    <w:rsid w:val="002D63C1"/>
    <w:rsid w:val="0030182E"/>
    <w:rsid w:val="00327A1A"/>
    <w:rsid w:val="003308BB"/>
    <w:rsid w:val="003401B4"/>
    <w:rsid w:val="003643C4"/>
    <w:rsid w:val="003644DC"/>
    <w:rsid w:val="00364F2E"/>
    <w:rsid w:val="00373FD7"/>
    <w:rsid w:val="003961C1"/>
    <w:rsid w:val="003D3781"/>
    <w:rsid w:val="003D7A8D"/>
    <w:rsid w:val="003E134F"/>
    <w:rsid w:val="003E540D"/>
    <w:rsid w:val="00400344"/>
    <w:rsid w:val="00406CEE"/>
    <w:rsid w:val="00412A64"/>
    <w:rsid w:val="00416093"/>
    <w:rsid w:val="004256A5"/>
    <w:rsid w:val="00447B91"/>
    <w:rsid w:val="00454CBD"/>
    <w:rsid w:val="00466EC1"/>
    <w:rsid w:val="00482064"/>
    <w:rsid w:val="00482610"/>
    <w:rsid w:val="004837E2"/>
    <w:rsid w:val="00492E56"/>
    <w:rsid w:val="004A58B8"/>
    <w:rsid w:val="004C66BF"/>
    <w:rsid w:val="004D7546"/>
    <w:rsid w:val="004E22C7"/>
    <w:rsid w:val="004E2498"/>
    <w:rsid w:val="0051347B"/>
    <w:rsid w:val="0052213A"/>
    <w:rsid w:val="00570478"/>
    <w:rsid w:val="005736A1"/>
    <w:rsid w:val="00577F86"/>
    <w:rsid w:val="00580A87"/>
    <w:rsid w:val="00593EF7"/>
    <w:rsid w:val="005C169C"/>
    <w:rsid w:val="005E2480"/>
    <w:rsid w:val="005E2917"/>
    <w:rsid w:val="005E361F"/>
    <w:rsid w:val="00624AEC"/>
    <w:rsid w:val="00652018"/>
    <w:rsid w:val="006632C8"/>
    <w:rsid w:val="00671F6E"/>
    <w:rsid w:val="006735F6"/>
    <w:rsid w:val="0067792E"/>
    <w:rsid w:val="00683C6C"/>
    <w:rsid w:val="006C3931"/>
    <w:rsid w:val="006D6401"/>
    <w:rsid w:val="006E3E83"/>
    <w:rsid w:val="00700CF9"/>
    <w:rsid w:val="00722431"/>
    <w:rsid w:val="0072423D"/>
    <w:rsid w:val="0072454B"/>
    <w:rsid w:val="00731C3E"/>
    <w:rsid w:val="00734DE5"/>
    <w:rsid w:val="00736DAD"/>
    <w:rsid w:val="00740F60"/>
    <w:rsid w:val="007670C2"/>
    <w:rsid w:val="00767678"/>
    <w:rsid w:val="00790818"/>
    <w:rsid w:val="007A174E"/>
    <w:rsid w:val="007B4236"/>
    <w:rsid w:val="007B5468"/>
    <w:rsid w:val="007C4AA0"/>
    <w:rsid w:val="007D04DE"/>
    <w:rsid w:val="007D32B7"/>
    <w:rsid w:val="007E309B"/>
    <w:rsid w:val="007F31B6"/>
    <w:rsid w:val="00815A76"/>
    <w:rsid w:val="00817EAC"/>
    <w:rsid w:val="008246F4"/>
    <w:rsid w:val="00827F77"/>
    <w:rsid w:val="00854588"/>
    <w:rsid w:val="008822A3"/>
    <w:rsid w:val="00882354"/>
    <w:rsid w:val="008B2849"/>
    <w:rsid w:val="008C4F95"/>
    <w:rsid w:val="008F3B68"/>
    <w:rsid w:val="009123B6"/>
    <w:rsid w:val="00982B73"/>
    <w:rsid w:val="00984323"/>
    <w:rsid w:val="00984595"/>
    <w:rsid w:val="009876AD"/>
    <w:rsid w:val="0099631A"/>
    <w:rsid w:val="009B375D"/>
    <w:rsid w:val="009C77A8"/>
    <w:rsid w:val="00A07882"/>
    <w:rsid w:val="00A12C22"/>
    <w:rsid w:val="00A13403"/>
    <w:rsid w:val="00A24449"/>
    <w:rsid w:val="00A32E85"/>
    <w:rsid w:val="00A40DB0"/>
    <w:rsid w:val="00A5021B"/>
    <w:rsid w:val="00A660EB"/>
    <w:rsid w:val="00A86B36"/>
    <w:rsid w:val="00A87101"/>
    <w:rsid w:val="00AA0126"/>
    <w:rsid w:val="00AA7441"/>
    <w:rsid w:val="00AB62C3"/>
    <w:rsid w:val="00AC5490"/>
    <w:rsid w:val="00AC54BB"/>
    <w:rsid w:val="00AD1076"/>
    <w:rsid w:val="00AE263F"/>
    <w:rsid w:val="00AF4D4A"/>
    <w:rsid w:val="00B026C8"/>
    <w:rsid w:val="00B21330"/>
    <w:rsid w:val="00B22FE8"/>
    <w:rsid w:val="00B5189A"/>
    <w:rsid w:val="00B653A7"/>
    <w:rsid w:val="00B72177"/>
    <w:rsid w:val="00B72D49"/>
    <w:rsid w:val="00BA0533"/>
    <w:rsid w:val="00BF23E9"/>
    <w:rsid w:val="00C114D4"/>
    <w:rsid w:val="00C1188D"/>
    <w:rsid w:val="00C144AE"/>
    <w:rsid w:val="00C14EF2"/>
    <w:rsid w:val="00C21952"/>
    <w:rsid w:val="00C2562C"/>
    <w:rsid w:val="00C26F6D"/>
    <w:rsid w:val="00C3454E"/>
    <w:rsid w:val="00C50C2C"/>
    <w:rsid w:val="00C70CD9"/>
    <w:rsid w:val="00C908F7"/>
    <w:rsid w:val="00C9701E"/>
    <w:rsid w:val="00CB0F29"/>
    <w:rsid w:val="00CB7A48"/>
    <w:rsid w:val="00CD0375"/>
    <w:rsid w:val="00CD24AC"/>
    <w:rsid w:val="00CD30A8"/>
    <w:rsid w:val="00CD540A"/>
    <w:rsid w:val="00CD57F8"/>
    <w:rsid w:val="00CD7113"/>
    <w:rsid w:val="00CF0606"/>
    <w:rsid w:val="00CF4236"/>
    <w:rsid w:val="00CF4E9A"/>
    <w:rsid w:val="00D01CBD"/>
    <w:rsid w:val="00D049CB"/>
    <w:rsid w:val="00D07C27"/>
    <w:rsid w:val="00D27857"/>
    <w:rsid w:val="00D41280"/>
    <w:rsid w:val="00D5733E"/>
    <w:rsid w:val="00D57B30"/>
    <w:rsid w:val="00D65E34"/>
    <w:rsid w:val="00D86EA8"/>
    <w:rsid w:val="00D93E66"/>
    <w:rsid w:val="00D9442D"/>
    <w:rsid w:val="00DA436F"/>
    <w:rsid w:val="00DA46B6"/>
    <w:rsid w:val="00DC0423"/>
    <w:rsid w:val="00DE2827"/>
    <w:rsid w:val="00DE621B"/>
    <w:rsid w:val="00DE7351"/>
    <w:rsid w:val="00DF5B00"/>
    <w:rsid w:val="00E016F8"/>
    <w:rsid w:val="00E120D2"/>
    <w:rsid w:val="00E21BC1"/>
    <w:rsid w:val="00E3060B"/>
    <w:rsid w:val="00E366DB"/>
    <w:rsid w:val="00E57BDD"/>
    <w:rsid w:val="00E7196B"/>
    <w:rsid w:val="00E81209"/>
    <w:rsid w:val="00E9134A"/>
    <w:rsid w:val="00EA3A02"/>
    <w:rsid w:val="00EA7FAD"/>
    <w:rsid w:val="00EB1CAA"/>
    <w:rsid w:val="00EC2D85"/>
    <w:rsid w:val="00ED40DF"/>
    <w:rsid w:val="00EF5A3C"/>
    <w:rsid w:val="00F153B6"/>
    <w:rsid w:val="00F21D6A"/>
    <w:rsid w:val="00F4462E"/>
    <w:rsid w:val="00F46F4F"/>
    <w:rsid w:val="00F5058B"/>
    <w:rsid w:val="00F65E75"/>
    <w:rsid w:val="00F73DF4"/>
    <w:rsid w:val="00F85F5F"/>
    <w:rsid w:val="00F96D2C"/>
    <w:rsid w:val="00FD20E3"/>
    <w:rsid w:val="00FE741F"/>
    <w:rsid w:val="00FF4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CC8B76"/>
  <w15:docId w15:val="{62513F67-4F1D-4785-BFB0-F89F1813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abic Transparent" w:eastAsia="Arabic Transparent" w:hAnsi="Arabic Transparent" w:cs="Arabic Transparent"/>
        <w:lang w:val="en-US" w:eastAsia="ar-EG"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3C"/>
    <w:pPr>
      <w:bidi/>
    </w:pPr>
    <w:rPr>
      <w:rFonts w:eastAsiaTheme="minorEastAsia" w:cstheme="minorBidi"/>
      <w:sz w:val="24"/>
      <w:szCs w:val="24"/>
      <w:rtl/>
      <w:lang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bidi/>
      <w:spacing w:after="200" w:line="276" w:lineRule="auto"/>
      <w:outlineLvl w:val="0"/>
    </w:pPr>
    <w:rPr>
      <w:b/>
      <w:color w:val="00408E"/>
      <w:sz w:val="28"/>
      <w:szCs w:val="28"/>
      <w:rtl/>
      <w:lang w:eastAsia="en-US"/>
    </w:rPr>
  </w:style>
  <w:style w:type="paragraph" w:styleId="Heading2">
    <w:name w:val="heading 2"/>
    <w:basedOn w:val="BodyText"/>
    <w:next w:val="BodyText"/>
    <w:link w:val="Heading2Char"/>
    <w:autoRedefine/>
    <w:uiPriority w:val="9"/>
    <w:unhideWhenUsed/>
    <w:qFormat/>
    <w:rsid w:val="00982B73"/>
    <w:pPr>
      <w:keepNext/>
      <w:keepLines/>
      <w:ind w:right="544"/>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B73"/>
    <w:rPr>
      <w:b/>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eastAsia="Calibri"/>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EG"/>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bidi/>
      <w:spacing w:after="200" w:line="276" w:lineRule="auto"/>
      <w:jc w:val="both"/>
    </w:pPr>
    <w:rPr>
      <w:szCs w:val="22"/>
      <w:rtl/>
      <w:lang w:eastAsia="en-US"/>
    </w:rPr>
  </w:style>
  <w:style w:type="character" w:customStyle="1" w:styleId="BodyTextChar">
    <w:name w:val="Body Text Char"/>
    <w:basedOn w:val="DefaultParagraphFont"/>
    <w:link w:val="BodyText"/>
    <w:uiPriority w:val="99"/>
    <w:rsid w:val="004E22C7"/>
    <w:rPr>
      <w:szCs w:val="22"/>
      <w:lang w:val="en-AU" w:eastAsia="en-US" w:bidi="ar-EG"/>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4"/>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eastAsia="Calibri"/>
      <w:sz w:val="20"/>
      <w:szCs w:val="22"/>
    </w:rPr>
  </w:style>
  <w:style w:type="paragraph" w:styleId="ListBullet3">
    <w:name w:val="List Bullet 3"/>
    <w:basedOn w:val="Normal"/>
    <w:uiPriority w:val="99"/>
    <w:unhideWhenUsed/>
    <w:rsid w:val="003961C1"/>
    <w:pPr>
      <w:numPr>
        <w:numId w:val="1"/>
      </w:numPr>
      <w:spacing w:after="200" w:line="276" w:lineRule="auto"/>
      <w:contextualSpacing/>
      <w:jc w:val="both"/>
    </w:pPr>
    <w:rPr>
      <w:rFonts w:eastAsia="Calibri"/>
      <w:sz w:val="20"/>
      <w:szCs w:val="22"/>
    </w:rPr>
  </w:style>
  <w:style w:type="paragraph" w:styleId="ListBullet4">
    <w:name w:val="List Bullet 4"/>
    <w:basedOn w:val="Normal"/>
    <w:uiPriority w:val="99"/>
    <w:unhideWhenUsed/>
    <w:rsid w:val="003961C1"/>
    <w:pPr>
      <w:numPr>
        <w:numId w:val="2"/>
      </w:numPr>
      <w:spacing w:after="200" w:line="276" w:lineRule="auto"/>
      <w:contextualSpacing/>
      <w:jc w:val="both"/>
    </w:pPr>
    <w:rPr>
      <w:rFonts w:eastAsia="Calibri"/>
      <w:sz w:val="20"/>
      <w:szCs w:val="22"/>
    </w:rPr>
  </w:style>
  <w:style w:type="paragraph" w:styleId="ListBullet5">
    <w:name w:val="List Bullet 5"/>
    <w:basedOn w:val="Normal"/>
    <w:uiPriority w:val="99"/>
    <w:unhideWhenUsed/>
    <w:rsid w:val="003961C1"/>
    <w:pPr>
      <w:numPr>
        <w:numId w:val="3"/>
      </w:numPr>
      <w:spacing w:after="200" w:line="276" w:lineRule="auto"/>
      <w:contextualSpacing/>
      <w:jc w:val="both"/>
    </w:pPr>
    <w:rPr>
      <w:rFonts w:eastAsia="Calibri"/>
      <w:sz w:val="20"/>
      <w:szCs w:val="22"/>
    </w:rPr>
  </w:style>
  <w:style w:type="paragraph" w:styleId="ListParagraph">
    <w:name w:val="List Paragraph"/>
    <w:basedOn w:val="Normal"/>
    <w:uiPriority w:val="34"/>
    <w:qFormat/>
    <w:rsid w:val="00C26F6D"/>
    <w:pPr>
      <w:spacing w:after="200" w:line="276" w:lineRule="auto"/>
      <w:ind w:left="720"/>
      <w:jc w:val="both"/>
    </w:pPr>
    <w:rPr>
      <w:rFonts w:eastAsia="Calibri"/>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sz w:val="18"/>
    </w:rPr>
  </w:style>
  <w:style w:type="paragraph" w:styleId="NoSpacing">
    <w:name w:val="No Spacing"/>
    <w:uiPriority w:val="1"/>
    <w:qFormat/>
    <w:rsid w:val="00C2562C"/>
    <w:pPr>
      <w:bidi/>
      <w:jc w:val="both"/>
    </w:pPr>
    <w:rPr>
      <w:szCs w:val="22"/>
      <w:rtl/>
      <w:lang w:eastAsia="en-US"/>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apple-converted-space">
    <w:name w:val="apple-converted-space"/>
    <w:basedOn w:val="DefaultParagraphFont"/>
    <w:rsid w:val="00EF5A3C"/>
  </w:style>
  <w:style w:type="character" w:styleId="Strong">
    <w:name w:val="Strong"/>
    <w:basedOn w:val="DefaultParagraphFont"/>
    <w:uiPriority w:val="22"/>
    <w:qFormat/>
    <w:rsid w:val="00EF5A3C"/>
    <w:rPr>
      <w:b/>
      <w:bCs/>
    </w:rPr>
  </w:style>
  <w:style w:type="character" w:styleId="FollowedHyperlink">
    <w:name w:val="FollowedHyperlink"/>
    <w:basedOn w:val="DefaultParagraphFont"/>
    <w:uiPriority w:val="99"/>
    <w:semiHidden/>
    <w:unhideWhenUsed/>
    <w:rsid w:val="00EF5A3C"/>
    <w:rPr>
      <w:color w:val="954F72" w:themeColor="followedHyperlink"/>
      <w:u w:val="single"/>
    </w:rPr>
  </w:style>
  <w:style w:type="paragraph" w:styleId="HTMLPreformatted">
    <w:name w:val="HTML Preformatted"/>
    <w:basedOn w:val="Normal"/>
    <w:link w:val="HTMLPreformattedChar"/>
    <w:uiPriority w:val="99"/>
    <w:semiHidden/>
    <w:unhideWhenUsed/>
    <w:rsid w:val="0076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n-AU"/>
    </w:rPr>
  </w:style>
  <w:style w:type="character" w:customStyle="1" w:styleId="HTMLPreformattedChar">
    <w:name w:val="HTML Preformatted Char"/>
    <w:basedOn w:val="DefaultParagraphFont"/>
    <w:link w:val="HTMLPreformatted"/>
    <w:uiPriority w:val="99"/>
    <w:semiHidden/>
    <w:rsid w:val="00767678"/>
    <w:rPr>
      <w:rFonts w:ascii="Courier" w:hAnsi="Courier" w:cs="Courier"/>
      <w:lang w:eastAsia="en-US"/>
    </w:rPr>
  </w:style>
  <w:style w:type="character" w:customStyle="1" w:styleId="UnresolvedMention">
    <w:name w:val="Unresolved Mention"/>
    <w:basedOn w:val="DefaultParagraphFont"/>
    <w:uiPriority w:val="99"/>
    <w:semiHidden/>
    <w:unhideWhenUsed/>
    <w:rsid w:val="00C14EF2"/>
    <w:rPr>
      <w:color w:val="808080"/>
      <w:shd w:val="clear" w:color="auto" w:fill="E6E6E6"/>
    </w:rPr>
  </w:style>
  <w:style w:type="paragraph" w:customStyle="1" w:styleId="p1">
    <w:name w:val="p1"/>
    <w:basedOn w:val="Normal"/>
    <w:rsid w:val="002D63C1"/>
    <w:rPr>
      <w:rFonts w:ascii="Calibri" w:hAnsi="Calibri" w:cs="Times New Roman"/>
      <w:sz w:val="17"/>
      <w:szCs w:val="17"/>
    </w:rPr>
  </w:style>
  <w:style w:type="paragraph" w:customStyle="1" w:styleId="LightList-Accent51">
    <w:name w:val="Light List - Accent 51"/>
    <w:basedOn w:val="Normal"/>
    <w:uiPriority w:val="34"/>
    <w:qFormat/>
    <w:rsid w:val="002D63C1"/>
    <w:pPr>
      <w:ind w:left="720"/>
      <w:contextualSpacing/>
    </w:pPr>
    <w:rPr>
      <w:rFonts w:ascii="Cambria" w:eastAsia="Cambria" w:hAnsi="Cambria" w:cs="Times New Roman"/>
    </w:rPr>
  </w:style>
  <w:style w:type="paragraph" w:styleId="NormalWeb">
    <w:name w:val="Normal (Web)"/>
    <w:basedOn w:val="Normal"/>
    <w:uiPriority w:val="99"/>
    <w:unhideWhenUsed/>
    <w:rsid w:val="002D63C1"/>
    <w:pPr>
      <w:spacing w:before="100" w:beforeAutospacing="1" w:after="100" w:afterAutospacing="1"/>
    </w:pPr>
    <w:rPr>
      <w:rFonts w:ascii="Times New Roman" w:eastAsiaTheme="minorHAnsi" w:hAnsi="Times New Roman" w:cs="Times New Roman"/>
      <w:lang w:eastAsia="ko-KR"/>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66965">
      <w:bodyDiv w:val="1"/>
      <w:marLeft w:val="0"/>
      <w:marRight w:val="0"/>
      <w:marTop w:val="0"/>
      <w:marBottom w:val="0"/>
      <w:divBdr>
        <w:top w:val="none" w:sz="0" w:space="0" w:color="auto"/>
        <w:left w:val="none" w:sz="0" w:space="0" w:color="auto"/>
        <w:bottom w:val="none" w:sz="0" w:space="0" w:color="auto"/>
        <w:right w:val="none" w:sz="0" w:space="0" w:color="auto"/>
      </w:divBdr>
    </w:div>
    <w:div w:id="662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tld-registration-data-specs-en" TargetMode="External"/><Relationship Id="rId13" Type="http://schemas.openxmlformats.org/officeDocument/2006/relationships/hyperlink" Target="https://mm.icann.org/pipermail/council/attachments/20180511/2435d825/GNSOPDP3.0-8May2018-00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m.icann.org/pipermail/counc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nso.icann.org/en/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nso.icann.org/en/index.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abic Transparent"/>
        <a:ea typeface="Arabic Transparent"/>
        <a:cs typeface="Arabic Transparent"/>
      </a:majorFont>
      <a:minorFont>
        <a:latin typeface="Arabic Transparent"/>
        <a:ea typeface="Arabic Transparent"/>
        <a:cs typeface="Arabic Transparen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F708-F298-4AA0-95C9-38E24C1C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عنوان الوثيقة</vt:lpstr>
    </vt:vector>
  </TitlesOfParts>
  <Company/>
  <LinksUpToDate>false</LinksUpToDate>
  <CharactersWithSpaces>8839</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الوثيقة</dc:title>
  <dc:subject>اسم و/أو شعار العميل</dc:subject>
  <dc:creator>توماس ديل</dc:creator>
  <cp:lastModifiedBy>Julian Dick</cp:lastModifiedBy>
  <cp:revision>2</cp:revision>
  <cp:lastPrinted>2013-11-27T05:14:00Z</cp:lastPrinted>
  <dcterms:created xsi:type="dcterms:W3CDTF">2018-06-28T13:33:00Z</dcterms:created>
  <dcterms:modified xsi:type="dcterms:W3CDTF">2018-06-28T13:33:00Z</dcterms:modified>
</cp:coreProperties>
</file>